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adjustRightInd/>
        <w:snapToGrid/>
        <w:spacing w:after="0" w:line="360" w:lineRule="auto"/>
        <w:jc w:val="center"/>
        <w:textAlignment w:val="auto"/>
        <w:rPr>
          <w:rFonts w:hint="default" w:ascii="Cambria" w:hAnsi="Cambria" w:cs="Cambria"/>
          <w:b/>
          <w:bCs/>
          <w:sz w:val="32"/>
          <w:szCs w:val="32"/>
        </w:rPr>
      </w:pPr>
      <w:r>
        <w:rPr>
          <w:rFonts w:hint="default" w:ascii="Cambria" w:hAnsi="Cambria" w:cs="Cambria"/>
          <w:b/>
          <w:bCs/>
          <w:sz w:val="32"/>
          <w:szCs w:val="32"/>
        </w:rPr>
        <w:t>PERBANDINGAN HASIL BELAJAR MAHASISWA PADA MATA KULIAH STATISTIK</w:t>
      </w:r>
    </w:p>
    <w:p>
      <w:pPr>
        <w:keepNext w:val="0"/>
        <w:keepLines w:val="0"/>
        <w:pageBreakBefore w:val="0"/>
        <w:widowControl/>
        <w:kinsoku/>
        <w:wordWrap/>
        <w:overflowPunct/>
        <w:topLinePunct w:val="0"/>
        <w:autoSpaceDN/>
        <w:bidi w:val="0"/>
        <w:adjustRightInd/>
        <w:snapToGrid/>
        <w:spacing w:after="0" w:line="360" w:lineRule="auto"/>
        <w:jc w:val="center"/>
        <w:textAlignment w:val="auto"/>
        <w:rPr>
          <w:rFonts w:hint="default" w:ascii="Cambria" w:hAnsi="Cambria" w:cs="Cambria"/>
          <w:b/>
          <w:bCs/>
          <w:sz w:val="24"/>
          <w:szCs w:val="24"/>
          <w:vertAlign w:val="superscript"/>
          <w:lang w:val="en-US"/>
        </w:rPr>
      </w:pPr>
      <w:r>
        <w:rPr>
          <w:rFonts w:hint="default" w:ascii="Cambria" w:hAnsi="Cambria" w:cs="Cambria"/>
          <w:b/>
          <w:bCs/>
          <w:sz w:val="24"/>
          <w:szCs w:val="24"/>
        </w:rPr>
        <w:t>Desty Septianawati</w:t>
      </w:r>
      <w:r>
        <w:rPr>
          <w:rFonts w:hint="default" w:ascii="Cambria" w:hAnsi="Cambria" w:cs="Cambria"/>
          <w:b/>
          <w:bCs/>
          <w:sz w:val="24"/>
          <w:szCs w:val="24"/>
          <w:vertAlign w:val="superscript"/>
          <w:lang w:val="en-US"/>
        </w:rPr>
        <w:t>1</w:t>
      </w:r>
      <w:r>
        <w:rPr>
          <w:rFonts w:hint="default" w:ascii="Cambria" w:hAnsi="Cambria" w:cs="Cambria"/>
          <w:b/>
          <w:bCs/>
          <w:sz w:val="24"/>
          <w:szCs w:val="24"/>
          <w:vertAlign w:val="superscript"/>
          <w:lang w:val="en-US"/>
        </w:rPr>
        <w:t xml:space="preserve"> </w:t>
      </w:r>
      <w:r>
        <w:rPr>
          <w:rFonts w:hint="default" w:ascii="Cambria" w:hAnsi="Cambria" w:cs="Cambria"/>
          <w:b/>
          <w:bCs/>
          <w:sz w:val="24"/>
          <w:szCs w:val="24"/>
        </w:rPr>
        <w:t>Yumi Sarassanti</w:t>
      </w:r>
      <w:r>
        <w:rPr>
          <w:rFonts w:hint="default" w:ascii="Cambria" w:hAnsi="Cambria" w:cs="Cambria"/>
          <w:b/>
          <w:bCs/>
          <w:sz w:val="24"/>
          <w:szCs w:val="24"/>
          <w:vertAlign w:val="superscript"/>
          <w:lang w:val="en-US"/>
        </w:rPr>
        <w:t>2</w:t>
      </w:r>
    </w:p>
    <w:p>
      <w:pPr>
        <w:keepNext w:val="0"/>
        <w:keepLines w:val="0"/>
        <w:pageBreakBefore w:val="0"/>
        <w:widowControl/>
        <w:kinsoku/>
        <w:wordWrap/>
        <w:overflowPunct/>
        <w:topLinePunct w:val="0"/>
        <w:autoSpaceDN/>
        <w:bidi w:val="0"/>
        <w:adjustRightInd/>
        <w:snapToGrid/>
        <w:spacing w:after="0" w:line="360" w:lineRule="auto"/>
        <w:jc w:val="center"/>
        <w:textAlignment w:val="auto"/>
        <w:rPr>
          <w:rFonts w:hint="default" w:ascii="Cambria" w:hAnsi="Cambria" w:cs="Cambria"/>
          <w:b/>
          <w:bCs/>
          <w:sz w:val="24"/>
          <w:szCs w:val="24"/>
        </w:rPr>
      </w:pPr>
      <w:r>
        <w:rPr>
          <w:rFonts w:hint="default" w:ascii="Cambria" w:hAnsi="Cambria" w:cs="Cambria"/>
          <w:b/>
          <w:bCs/>
          <w:sz w:val="24"/>
          <w:szCs w:val="24"/>
          <w:vertAlign w:val="superscript"/>
          <w:lang w:val="en-US"/>
        </w:rPr>
        <w:t>1,2</w:t>
      </w:r>
      <w:r>
        <w:rPr>
          <w:rFonts w:hint="default" w:ascii="Cambria" w:hAnsi="Cambria" w:cs="Cambria"/>
          <w:b/>
          <w:bCs/>
          <w:sz w:val="24"/>
          <w:szCs w:val="24"/>
        </w:rPr>
        <w:t>Tadris Matematika, IAIN Pontianak</w:t>
      </w:r>
    </w:p>
    <w:p>
      <w:pPr>
        <w:keepNext w:val="0"/>
        <w:keepLines w:val="0"/>
        <w:pageBreakBefore w:val="0"/>
        <w:widowControl/>
        <w:kinsoku/>
        <w:wordWrap/>
        <w:overflowPunct/>
        <w:topLinePunct w:val="0"/>
        <w:autoSpaceDE w:val="0"/>
        <w:autoSpaceDN/>
        <w:bidi w:val="0"/>
        <w:adjustRightInd/>
        <w:snapToGrid/>
        <w:spacing w:after="0" w:line="360" w:lineRule="auto"/>
        <w:jc w:val="center"/>
        <w:textAlignment w:val="auto"/>
        <w:rPr>
          <w:rFonts w:hint="default" w:ascii="Cambria" w:hAnsi="Cambria" w:cs="Cambria"/>
          <w:color w:val="0563C1"/>
          <w:sz w:val="24"/>
          <w:szCs w:val="24"/>
          <w:u w:val="single"/>
        </w:rPr>
      </w:pPr>
      <w:bookmarkStart w:id="0" w:name="_GoBack"/>
      <w:r>
        <w:rPr>
          <w:rFonts w:hint="default" w:ascii="Cambria" w:hAnsi="Cambria" w:cs="Cambria"/>
          <w:sz w:val="24"/>
          <w:szCs w:val="24"/>
        </w:rPr>
        <w:fldChar w:fldCharType="begin"/>
      </w:r>
      <w:r>
        <w:rPr>
          <w:rFonts w:hint="default" w:ascii="Cambria" w:hAnsi="Cambria" w:cs="Cambria"/>
          <w:sz w:val="24"/>
          <w:szCs w:val="24"/>
        </w:rPr>
        <w:instrText xml:space="preserve"> HYPERLINK "mailto:desty_septinawati@iainptk.ac.id" </w:instrText>
      </w:r>
      <w:r>
        <w:rPr>
          <w:rFonts w:hint="default" w:ascii="Cambria" w:hAnsi="Cambria" w:cs="Cambria"/>
          <w:sz w:val="24"/>
          <w:szCs w:val="24"/>
        </w:rPr>
        <w:fldChar w:fldCharType="separate"/>
      </w:r>
      <w:r>
        <w:rPr>
          <w:rStyle w:val="4"/>
          <w:rFonts w:hint="default" w:ascii="Cambria" w:hAnsi="Cambria" w:cs="Cambria"/>
          <w:b/>
          <w:bCs/>
          <w:sz w:val="24"/>
          <w:szCs w:val="24"/>
        </w:rPr>
        <w:t>desty_septinawati@iainptk.ac.id</w:t>
      </w:r>
      <w:r>
        <w:rPr>
          <w:rStyle w:val="4"/>
          <w:rFonts w:hint="default" w:ascii="Cambria" w:hAnsi="Cambria" w:cs="Cambria"/>
          <w:b/>
          <w:bCs/>
          <w:sz w:val="24"/>
          <w:szCs w:val="24"/>
        </w:rPr>
        <w:fldChar w:fldCharType="end"/>
      </w:r>
      <w:bookmarkEnd w:id="0"/>
      <w:r>
        <w:rPr>
          <w:rStyle w:val="4"/>
          <w:rFonts w:hint="default" w:ascii="Cambria" w:hAnsi="Cambria" w:cs="Cambria"/>
          <w:b/>
          <w:bCs/>
          <w:sz w:val="24"/>
          <w:szCs w:val="24"/>
          <w:lang w:val="en-US"/>
        </w:rPr>
        <w:t xml:space="preserve">, </w:t>
      </w:r>
      <w:r>
        <w:rPr>
          <w:rFonts w:hint="default" w:ascii="Cambria" w:hAnsi="Cambria" w:cs="Cambria"/>
          <w:sz w:val="24"/>
          <w:szCs w:val="24"/>
        </w:rPr>
        <w:fldChar w:fldCharType="begin"/>
      </w:r>
      <w:r>
        <w:rPr>
          <w:rFonts w:hint="default" w:ascii="Cambria" w:hAnsi="Cambria" w:cs="Cambria"/>
          <w:sz w:val="24"/>
          <w:szCs w:val="24"/>
        </w:rPr>
        <w:instrText xml:space="preserve"> HYPERLINK "mailto:yumisarassanti@yahoo.co.id" </w:instrText>
      </w:r>
      <w:r>
        <w:rPr>
          <w:rFonts w:hint="default" w:ascii="Cambria" w:hAnsi="Cambria" w:cs="Cambria"/>
          <w:sz w:val="24"/>
          <w:szCs w:val="24"/>
        </w:rPr>
        <w:fldChar w:fldCharType="separate"/>
      </w:r>
      <w:r>
        <w:rPr>
          <w:rStyle w:val="4"/>
          <w:rFonts w:hint="default" w:ascii="Cambria" w:hAnsi="Cambria" w:cs="Cambria"/>
          <w:b/>
          <w:bCs/>
          <w:sz w:val="24"/>
          <w:szCs w:val="24"/>
        </w:rPr>
        <w:t>yumisarassanti@yahoo.co.id</w:t>
      </w:r>
      <w:r>
        <w:rPr>
          <w:rStyle w:val="4"/>
          <w:rFonts w:hint="default" w:ascii="Cambria" w:hAnsi="Cambria" w:cs="Cambria"/>
          <w:b/>
          <w:bCs/>
          <w:sz w:val="24"/>
          <w:szCs w:val="24"/>
        </w:rPr>
        <w:fldChar w:fldCharType="end"/>
      </w:r>
    </w:p>
    <w:p>
      <w:pPr>
        <w:keepNext w:val="0"/>
        <w:keepLines w:val="0"/>
        <w:pageBreakBefore w:val="0"/>
        <w:widowControl/>
        <w:kinsoku/>
        <w:wordWrap/>
        <w:overflowPunct/>
        <w:topLinePunct w:val="0"/>
        <w:autoSpaceDN/>
        <w:bidi w:val="0"/>
        <w:adjustRightInd/>
        <w:snapToGrid/>
        <w:spacing w:after="0" w:line="360" w:lineRule="auto"/>
        <w:jc w:val="center"/>
        <w:textAlignment w:val="auto"/>
        <w:rPr>
          <w:rFonts w:hint="default" w:ascii="Cambria" w:hAnsi="Cambria" w:cs="Cambria"/>
          <w:b/>
          <w:bCs/>
          <w:sz w:val="24"/>
          <w:szCs w:val="24"/>
        </w:rPr>
      </w:pPr>
    </w:p>
    <w:p>
      <w:pPr>
        <w:keepNext w:val="0"/>
        <w:keepLines w:val="0"/>
        <w:pageBreakBefore w:val="0"/>
        <w:widowControl/>
        <w:kinsoku/>
        <w:wordWrap/>
        <w:overflowPunct/>
        <w:topLinePunct w:val="0"/>
        <w:autoSpaceDN/>
        <w:bidi w:val="0"/>
        <w:adjustRightInd/>
        <w:snapToGrid/>
        <w:spacing w:after="0" w:line="240" w:lineRule="auto"/>
        <w:jc w:val="center"/>
        <w:textAlignment w:val="auto"/>
        <w:rPr>
          <w:rFonts w:hint="default" w:ascii="Cambria" w:hAnsi="Cambria" w:cs="Cambria"/>
          <w:b/>
          <w:bCs/>
          <w:sz w:val="20"/>
          <w:szCs w:val="20"/>
        </w:rPr>
      </w:pPr>
      <w:r>
        <w:rPr>
          <w:rFonts w:hint="default" w:ascii="Cambria" w:hAnsi="Cambria" w:cs="Cambria"/>
          <w:b/>
          <w:bCs/>
          <w:sz w:val="20"/>
          <w:szCs w:val="20"/>
        </w:rPr>
        <w:t>Abstract</w:t>
      </w:r>
    </w:p>
    <w:p>
      <w:pPr>
        <w:keepNext w:val="0"/>
        <w:keepLines w:val="0"/>
        <w:pageBreakBefore w:val="0"/>
        <w:widowControl/>
        <w:kinsoku/>
        <w:wordWrap/>
        <w:overflowPunct/>
        <w:topLinePunct w:val="0"/>
        <w:autoSpaceDN/>
        <w:bidi w:val="0"/>
        <w:adjustRightInd/>
        <w:snapToGrid/>
        <w:spacing w:after="0" w:line="240" w:lineRule="auto"/>
        <w:jc w:val="both"/>
        <w:textAlignment w:val="auto"/>
        <w:rPr>
          <w:rFonts w:hint="default" w:ascii="Cambria" w:hAnsi="Cambria" w:cs="Cambria"/>
          <w:b w:val="0"/>
          <w:bCs w:val="0"/>
          <w:sz w:val="20"/>
          <w:szCs w:val="20"/>
        </w:rPr>
      </w:pPr>
      <w:r>
        <w:rPr>
          <w:rFonts w:hint="default" w:ascii="Cambria" w:hAnsi="Cambria" w:cs="Cambria"/>
          <w:b w:val="0"/>
          <w:bCs w:val="0"/>
          <w:sz w:val="20"/>
          <w:szCs w:val="20"/>
        </w:rPr>
        <w:t>The purpose of this study is to determine differences in student learning outcomes in Statistics courses. This research is a type of quantitative research using a quasi-experimental model with a posttest only control group design. The population in this study included all Islamic Education students at IAIN Pontiank. The sample in this study involved 39 semester IV students in the experimental class and 37 people in the control class who were taken randomly using cluster random sampling. The type of data in this research is quantitative data. The instrument used to obtain data in this study was a test of learning outcomes in statistics courses in the form of an essay test. Data were analyzed using inferential statistics using the t-test. Based on the results of data analysis, the value of sig = 0.0000 &lt; α = 0.05 so that Ho is rejected and Ha is accepted, which means that there are differences in learning outcomes in statistics courses between students who are given jigsaw cooperative learning compared to students who are given direct learning. It can be concluded that the average statistical learning outcomes of students who receive jigsaw cooperative learning are significantly higher than students who receive direct learning. Therefore, it is suggested that the jigsaw cooperative learning model can be used as an alternative for mathematics lecturers in improving student statistical learning outcomes.</w:t>
      </w:r>
    </w:p>
    <w:p>
      <w:pPr>
        <w:keepNext w:val="0"/>
        <w:keepLines w:val="0"/>
        <w:pageBreakBefore w:val="0"/>
        <w:widowControl/>
        <w:kinsoku/>
        <w:wordWrap/>
        <w:overflowPunct/>
        <w:topLinePunct w:val="0"/>
        <w:autoSpaceDN/>
        <w:bidi w:val="0"/>
        <w:adjustRightInd/>
        <w:snapToGrid/>
        <w:spacing w:after="0" w:line="240" w:lineRule="auto"/>
        <w:jc w:val="both"/>
        <w:textAlignment w:val="auto"/>
        <w:rPr>
          <w:rFonts w:hint="default" w:ascii="Cambria" w:hAnsi="Cambria" w:cs="Cambria"/>
          <w:b/>
          <w:bCs/>
          <w:sz w:val="20"/>
          <w:szCs w:val="20"/>
        </w:rPr>
      </w:pPr>
      <w:r>
        <w:rPr>
          <w:rFonts w:hint="default" w:ascii="Cambria" w:hAnsi="Cambria" w:cs="Cambria"/>
          <w:b/>
          <w:bCs/>
          <w:sz w:val="20"/>
          <w:szCs w:val="20"/>
        </w:rPr>
        <w:t>Keywords: Comparison, Learning Outcomes, Statistics</w:t>
      </w:r>
    </w:p>
    <w:p>
      <w:pPr>
        <w:keepNext w:val="0"/>
        <w:keepLines w:val="0"/>
        <w:pageBreakBefore w:val="0"/>
        <w:widowControl/>
        <w:kinsoku/>
        <w:wordWrap/>
        <w:overflowPunct/>
        <w:topLinePunct w:val="0"/>
        <w:autoSpaceDN/>
        <w:bidi w:val="0"/>
        <w:adjustRightInd/>
        <w:snapToGrid/>
        <w:spacing w:after="0" w:line="240" w:lineRule="auto"/>
        <w:jc w:val="center"/>
        <w:textAlignment w:val="auto"/>
        <w:rPr>
          <w:rFonts w:hint="default" w:ascii="Cambria" w:hAnsi="Cambria" w:cs="Cambria"/>
          <w:b/>
          <w:bCs/>
          <w:sz w:val="20"/>
          <w:szCs w:val="20"/>
        </w:rPr>
      </w:pPr>
    </w:p>
    <w:p>
      <w:pPr>
        <w:keepNext w:val="0"/>
        <w:keepLines w:val="0"/>
        <w:pageBreakBefore w:val="0"/>
        <w:widowControl/>
        <w:kinsoku/>
        <w:wordWrap/>
        <w:overflowPunct/>
        <w:topLinePunct w:val="0"/>
        <w:autoSpaceDN/>
        <w:bidi w:val="0"/>
        <w:adjustRightInd/>
        <w:snapToGrid/>
        <w:spacing w:after="0" w:line="240" w:lineRule="auto"/>
        <w:jc w:val="center"/>
        <w:textAlignment w:val="auto"/>
        <w:rPr>
          <w:rFonts w:hint="default" w:ascii="Cambria" w:hAnsi="Cambria" w:cs="Cambria"/>
          <w:b/>
          <w:bCs/>
          <w:sz w:val="20"/>
          <w:szCs w:val="20"/>
        </w:rPr>
      </w:pPr>
      <w:r>
        <w:rPr>
          <w:rFonts w:hint="default" w:ascii="Cambria" w:hAnsi="Cambria" w:cs="Cambria"/>
          <w:b/>
          <w:bCs/>
          <w:sz w:val="20"/>
          <w:szCs w:val="20"/>
        </w:rPr>
        <w:t>Abstrak</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color w:val="auto"/>
          <w:sz w:val="20"/>
          <w:szCs w:val="20"/>
        </w:rPr>
      </w:pPr>
      <w:r>
        <w:rPr>
          <w:rFonts w:hint="default" w:ascii="Cambria" w:hAnsi="Cambria" w:eastAsia="SimSun" w:cs="Cambria"/>
          <w:color w:val="000000"/>
          <w:kern w:val="0"/>
          <w:sz w:val="20"/>
          <w:szCs w:val="20"/>
          <w:lang w:val="en-US" w:eastAsia="zh-CN" w:bidi="ar"/>
        </w:rPr>
        <w:t xml:space="preserve">Tujuan dari penelitian ini yaitu untuk mengetahui perbedaan hasil belajar mahasiswa pada mata kuliah Statistik. Penelitian ini merupakan salah satu jenis penelitian kuantitatif dengan menggunakan model kuasi eksperimen dengan </w:t>
      </w:r>
      <w:r>
        <w:rPr>
          <w:rFonts w:hint="default" w:ascii="Cambria" w:hAnsi="Cambria" w:eastAsia="SimSun" w:cs="Cambria"/>
          <w:i/>
          <w:iCs/>
          <w:color w:val="000000"/>
          <w:kern w:val="0"/>
          <w:sz w:val="20"/>
          <w:szCs w:val="20"/>
          <w:lang w:val="en-US" w:eastAsia="zh-CN" w:bidi="ar"/>
        </w:rPr>
        <w:t>posttest only control group design</w:t>
      </w:r>
      <w:r>
        <w:rPr>
          <w:rFonts w:hint="default" w:ascii="Cambria" w:hAnsi="Cambria" w:eastAsia="SimSun" w:cs="Cambria"/>
          <w:color w:val="000000"/>
          <w:kern w:val="0"/>
          <w:sz w:val="20"/>
          <w:szCs w:val="20"/>
          <w:lang w:val="en-US" w:eastAsia="zh-CN" w:bidi="ar"/>
        </w:rPr>
        <w:t xml:space="preserve">. Populasi dalam penelitian ini meliputi seluruh mahasiswa pendidikan Agama Islam IAIN Pontiank. Sampel dalam penelitian ini melibatkan mahasiswa semester IV sebanyak 39 orang pada kelas eksperimen dan 37 orang pada kelas kontrol yang diambil secara acak menggunakan </w:t>
      </w:r>
      <w:r>
        <w:rPr>
          <w:rFonts w:hint="default" w:ascii="Cambria" w:hAnsi="Cambria" w:eastAsia="SimSun" w:cs="Cambria"/>
          <w:i/>
          <w:iCs/>
          <w:color w:val="000000"/>
          <w:kern w:val="0"/>
          <w:sz w:val="20"/>
          <w:szCs w:val="20"/>
          <w:lang w:val="en-US" w:eastAsia="zh-CN" w:bidi="ar"/>
        </w:rPr>
        <w:t>cluster random sampling</w:t>
      </w:r>
      <w:r>
        <w:rPr>
          <w:rFonts w:hint="default" w:ascii="Cambria" w:hAnsi="Cambria" w:eastAsia="SimSun" w:cs="Cambria"/>
          <w:color w:val="000000"/>
          <w:kern w:val="0"/>
          <w:sz w:val="20"/>
          <w:szCs w:val="20"/>
          <w:lang w:val="en-US" w:eastAsia="zh-CN" w:bidi="ar"/>
        </w:rPr>
        <w:t xml:space="preserve">. Jenis data dalam penelitian ini adalah data kuantitatif. Instrumen yang digunakan untuk memperoleh data dalam penelitian ini adalah tes hasil belajar pada mata kuliah statistik yang berbentuk </w:t>
      </w:r>
      <w:r>
        <w:rPr>
          <w:rFonts w:hint="default" w:ascii="Cambria" w:hAnsi="Cambria" w:eastAsia="SimSun" w:cs="Cambria"/>
          <w:i/>
          <w:iCs/>
          <w:color w:val="000000"/>
          <w:kern w:val="0"/>
          <w:sz w:val="20"/>
          <w:szCs w:val="20"/>
          <w:lang w:val="en-US" w:eastAsia="zh-CN" w:bidi="ar"/>
        </w:rPr>
        <w:t>essay test</w:t>
      </w:r>
      <w:r>
        <w:rPr>
          <w:rFonts w:hint="default" w:ascii="Cambria" w:hAnsi="Cambria" w:eastAsia="SimSun" w:cs="Cambria"/>
          <w:color w:val="000000"/>
          <w:kern w:val="0"/>
          <w:sz w:val="20"/>
          <w:szCs w:val="20"/>
          <w:lang w:val="en-US" w:eastAsia="zh-CN" w:bidi="ar"/>
        </w:rPr>
        <w:t xml:space="preserve">. Data dianalisis dengan menggunakan statistik inferensial menggunakan uji-t. </w:t>
      </w:r>
      <w:r>
        <w:rPr>
          <w:rFonts w:hint="default" w:ascii="Cambria" w:hAnsi="Cambria" w:eastAsia="SimSun" w:cs="Cambria"/>
          <w:color w:val="auto"/>
          <w:kern w:val="0"/>
          <w:sz w:val="20"/>
          <w:szCs w:val="20"/>
          <w:lang w:val="en-US" w:eastAsia="zh-CN" w:bidi="ar"/>
        </w:rPr>
        <w:t xml:space="preserve">Berdasarkan hasil analisis data diperoleh nilai sig = 0.0000 &lt; α = 0,05 sehingga Ho ditolak dan Ha diterima yang berarti terdapat perbedaan hasil belajar pada mata kuliah statistik antara mahasiswa yang diberi pembelajaran kooperatif tipe </w:t>
      </w:r>
      <w:r>
        <w:rPr>
          <w:rFonts w:hint="default" w:ascii="Cambria" w:hAnsi="Cambria" w:eastAsia="SimSun" w:cs="Cambria"/>
          <w:i/>
          <w:iCs/>
          <w:color w:val="auto"/>
          <w:kern w:val="0"/>
          <w:sz w:val="20"/>
          <w:szCs w:val="20"/>
          <w:lang w:val="en-US" w:eastAsia="zh-CN" w:bidi="ar"/>
        </w:rPr>
        <w:t xml:space="preserve">jigsaw </w:t>
      </w:r>
      <w:r>
        <w:rPr>
          <w:rFonts w:hint="default" w:ascii="Cambria" w:hAnsi="Cambria" w:eastAsia="SimSun" w:cs="Cambria"/>
          <w:color w:val="auto"/>
          <w:kern w:val="0"/>
          <w:sz w:val="20"/>
          <w:szCs w:val="20"/>
          <w:lang w:val="en-US" w:eastAsia="zh-CN" w:bidi="ar"/>
        </w:rPr>
        <w:t xml:space="preserve">dibandingkan dengan mahasiswa yang diberi pembelajaran langsung. Dapat disimpulkan rata-rata hasil belajar statistik mahasiswa yang memperoleh pembelajaran kooperatif tipe </w:t>
      </w:r>
      <w:r>
        <w:rPr>
          <w:rFonts w:hint="default" w:ascii="Cambria" w:hAnsi="Cambria" w:eastAsia="SimSun" w:cs="Cambria"/>
          <w:i/>
          <w:iCs/>
          <w:color w:val="auto"/>
          <w:kern w:val="0"/>
          <w:sz w:val="20"/>
          <w:szCs w:val="20"/>
          <w:lang w:val="en-US" w:eastAsia="zh-CN" w:bidi="ar"/>
        </w:rPr>
        <w:t xml:space="preserve">jigsaw </w:t>
      </w:r>
      <w:r>
        <w:rPr>
          <w:rFonts w:hint="default" w:ascii="Cambria" w:hAnsi="Cambria" w:eastAsia="SimSun" w:cs="Cambria"/>
          <w:color w:val="auto"/>
          <w:kern w:val="0"/>
          <w:sz w:val="20"/>
          <w:szCs w:val="20"/>
          <w:lang w:val="en-US" w:eastAsia="zh-CN" w:bidi="ar"/>
        </w:rPr>
        <w:t xml:space="preserve">lebih tinggi secara signifikan dibandingkan dengan mahasiswa yang memperoleh pembelajaran langsung. Oleh karena itu, disarankan model pembelajaran kooperatif tipe </w:t>
      </w:r>
      <w:r>
        <w:rPr>
          <w:rFonts w:hint="default" w:ascii="Cambria" w:hAnsi="Cambria" w:eastAsia="SimSun" w:cs="Cambria"/>
          <w:i/>
          <w:iCs/>
          <w:color w:val="auto"/>
          <w:kern w:val="0"/>
          <w:sz w:val="20"/>
          <w:szCs w:val="20"/>
          <w:lang w:val="en-US" w:eastAsia="zh-CN" w:bidi="ar"/>
        </w:rPr>
        <w:t xml:space="preserve">jigsaw </w:t>
      </w:r>
      <w:r>
        <w:rPr>
          <w:rFonts w:hint="default" w:ascii="Cambria" w:hAnsi="Cambria" w:eastAsia="SimSun" w:cs="Cambria"/>
          <w:color w:val="auto"/>
          <w:kern w:val="0"/>
          <w:sz w:val="20"/>
          <w:szCs w:val="20"/>
          <w:lang w:val="en-US" w:eastAsia="zh-CN" w:bidi="ar"/>
        </w:rPr>
        <w:t>dapat digunakan sebagai alternatif untuk  dosen matematika dalam meningkatkan hasil belajar statistik mahasiswa.</w:t>
      </w:r>
    </w:p>
    <w:p>
      <w:pPr>
        <w:keepNext w:val="0"/>
        <w:keepLines w:val="0"/>
        <w:pageBreakBefore w:val="0"/>
        <w:widowControl/>
        <w:kinsoku/>
        <w:wordWrap/>
        <w:overflowPunct/>
        <w:topLinePunct w:val="0"/>
        <w:autoSpaceDN/>
        <w:bidi w:val="0"/>
        <w:adjustRightInd/>
        <w:snapToGrid/>
        <w:spacing w:after="0" w:line="240" w:lineRule="auto"/>
        <w:jc w:val="both"/>
        <w:textAlignment w:val="auto"/>
        <w:rPr>
          <w:rFonts w:hint="default" w:ascii="Cambria" w:hAnsi="Cambria" w:cs="Cambria"/>
          <w:b/>
          <w:bCs/>
          <w:sz w:val="20"/>
          <w:szCs w:val="20"/>
          <w:lang w:val="en-US"/>
        </w:rPr>
      </w:pPr>
      <w:r>
        <w:rPr>
          <w:rFonts w:hint="default" w:ascii="Cambria" w:hAnsi="Cambria" w:cs="Cambria"/>
          <w:b/>
          <w:bCs/>
          <w:sz w:val="20"/>
          <w:szCs w:val="20"/>
          <w:lang w:val="en-US"/>
        </w:rPr>
        <w:t>Kata Kunci : Perbandingan, Hasil Belajar, Statistik</w:t>
      </w:r>
    </w:p>
    <w:p>
      <w:pPr>
        <w:keepNext w:val="0"/>
        <w:keepLines w:val="0"/>
        <w:pageBreakBefore w:val="0"/>
        <w:widowControl/>
        <w:kinsoku/>
        <w:wordWrap/>
        <w:overflowPunct/>
        <w:topLinePunct w:val="0"/>
        <w:autoSpaceDN/>
        <w:bidi w:val="0"/>
        <w:adjustRightInd/>
        <w:snapToGrid/>
        <w:spacing w:after="0" w:line="360" w:lineRule="auto"/>
        <w:jc w:val="both"/>
        <w:textAlignment w:val="auto"/>
        <w:rPr>
          <w:rFonts w:hint="default" w:ascii="Cambria" w:hAnsi="Cambria" w:cs="Cambria"/>
          <w:b/>
          <w:bCs/>
          <w:sz w:val="24"/>
          <w:szCs w:val="24"/>
        </w:rPr>
      </w:pP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8"/>
          <w:szCs w:val="28"/>
        </w:rPr>
      </w:pPr>
      <w:r>
        <w:rPr>
          <w:rFonts w:hint="default" w:ascii="Cambria" w:hAnsi="Cambria" w:eastAsia="SimSun" w:cs="Cambria"/>
          <w:b/>
          <w:bCs/>
          <w:color w:val="000000"/>
          <w:kern w:val="0"/>
          <w:sz w:val="28"/>
          <w:szCs w:val="28"/>
          <w:lang w:val="en-US" w:eastAsia="zh-CN" w:bidi="ar"/>
        </w:rPr>
        <w:t xml:space="preserve">A. Pendahuluan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eastAsia="SimSun" w:cs="Cambria"/>
          <w:color w:val="000000"/>
          <w:kern w:val="0"/>
          <w:sz w:val="24"/>
          <w:szCs w:val="24"/>
          <w:lang w:val="en-US" w:eastAsia="zh-CN" w:bidi="ar"/>
        </w:rPr>
      </w:pPr>
      <w:r>
        <w:rPr>
          <w:rFonts w:hint="default" w:ascii="Cambria" w:hAnsi="Cambria" w:eastAsia="SimSun" w:cs="Cambria"/>
          <w:color w:val="000000"/>
          <w:kern w:val="0"/>
          <w:sz w:val="24"/>
          <w:szCs w:val="24"/>
          <w:lang w:val="en-US" w:eastAsia="zh-CN" w:bidi="ar"/>
        </w:rPr>
        <w:t xml:space="preserve">Salah satu tujuan diselenggarakannya pendidikan di perguruan tinggi menurut UU No.12 Tahun 2012 pasal 5 tentang Perguruan Tinggi yaitu ingin menghasilkan lulusan yang dapat  menguasai cabang ilmu pengetahuan dan teknologi untuk memenuhi kepentingan nasional dan daya saing bangsa. Indikator pencapaian tujuan pendidikan tersebut salah satunya melalui evaluasi hasil belajar mahasiswa. Hasil belajar merupakan acuan dalam mengukur kemampuan mahasiswa dalam memahami fakta, konsep, prinsip dan kemampuannya mulai dari pengertian sampai pemecahan masalah (Nurfitriyanti, 2017:156). Selanjutnya, Muin dan Ulfah (2012:75) menyatakan bahwa hasil belajar merupakan perubahan yang diperoleh oleh mahasiswa setelah mengikuti serangkaian kegiatan belajar. Jadi, dapat dinyatakan hasil belajar mahasiswa merupakan penilaian yang diberikan oleh dosen terhadap kemampuan mahasiswa dalam setelah selesai mengikuti proses pembelajaran. Hasil belajar menurut Bloom dapat dibedakan atas tiga ranah yaitu kognitif, afektif dan psikomotorik (Sudjana, 2010:22). Ranah kognitif terdiri atas intelektual dan kemampuan berpikir mahasiswa, ranah afektif mencakup segala yang berkaitan dengan emosi dan sikap mahasiswa serta ranah psikomotorik meliputi gerakan dan keterampilan motorik mahasiswa.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eastAsia="SimSun" w:cs="Cambria"/>
          <w:color w:val="000000"/>
          <w:kern w:val="0"/>
          <w:sz w:val="24"/>
          <w:szCs w:val="24"/>
          <w:lang w:val="en-US" w:eastAsia="zh-CN" w:bidi="ar"/>
        </w:rPr>
      </w:pPr>
      <w:r>
        <w:rPr>
          <w:rFonts w:hint="default" w:ascii="Cambria" w:hAnsi="Cambria" w:eastAsia="SimSun" w:cs="Cambria"/>
          <w:color w:val="000000"/>
          <w:kern w:val="0"/>
          <w:sz w:val="24"/>
          <w:szCs w:val="24"/>
          <w:lang w:val="en-US" w:eastAsia="zh-CN" w:bidi="ar"/>
        </w:rPr>
        <w:t xml:space="preserve">Peneliti berfokus pada ranah kognitif (pengetahuan) mahasiswa khususnya pada mata kuliah statistik dalam penelitian ini. Hasil belajar sangat penting dalam pelaksanaan kegiatan pembelajaran. Hal ini dikarenakan hasil belajar merupakan indikator keberhasilan bagi dosen atau dosen dalam membelajarkan mahasiswa (Wibowo &amp; Farnisa, 2018: 183). Indikator tersebut bermakna agar dosen dapat terus menerus memperbaiki praktik pembelajarannya di kelas. Selain itu, menurut Baharun (2015: 39) adanya hasil belajar mahasiswa dapat mengetahui kemampuan-kemampuan yang dimiliki mahasiswa setelah ia memperoleh pengalaman belajarnya. Hal tersebut berarti hasil belajar dapat memberikan stimulus dan motivasi mahasiswa untuk terus meningkatkan hasil belajarnya. Namun, pentingnya hasil belajar tersebut belum sesuai dengan kenyataan yang terjadi di lapangan dimana hasil belajar mahasiswa mahasiswa khususnya mahasiswa prodi pendidikaan agama islam pada mata kuliah statistik masih menunjukkan hasil yang belum maksimal. Pernyataan tersebut didukung dengan data hasil belajar mahasiswa dimana masih banyak mahasiswa yang memperoleh nilai di bawah 70 pada saat Ujian Tengah Semester (UTS). Hal ini menunjukkan hasil belajar mahasiswa pada mata kuliah statistik masih rendah. Hasil belajar mahasiswa yang masih rendah dipengaruhi oleh beberapa faktor dimana salah satunya dipengaruhi oleh kegiatan pembelajaran yang dilakukan oleh dosen. Hal ini sesui dengan pernyataan Yulianti dan Fitri (2017: 243) bahwa model pembelajaran yang diterapkan oleh dosen selama kegiatan perkuliahan seringkali mempengaruhi pemahaman mahasiswa terhadap materi perkuliahan yang diberikan. Fakta di lapangan menunjukkan bahwa kebanyakan dosen masih menerapkan pembelajaran yang berpusat kepada dosen seperti pembelajaran langsung. Model pembelajaran langsung merupakan pembelajaran yang mana pendidik menyampaikan materi kepada peserta didik dengan langkah-langkah sederhana dan sistematis (Susiaty, 2017: 35-36). Dalam hal ini, model pembelajaran langsung cocok digunakan untuk mengajarkan pengetahuan dasar yang bersifat konsep dan prosedur.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Selanjutnya, pembelajaran </w:t>
      </w:r>
      <w:r>
        <w:rPr>
          <w:rFonts w:hint="default" w:ascii="Cambria" w:hAnsi="Cambria" w:eastAsia="SimSun" w:cs="Cambria"/>
          <w:b/>
          <w:bCs/>
          <w:color w:val="000000"/>
          <w:kern w:val="0"/>
          <w:sz w:val="24"/>
          <w:szCs w:val="24"/>
          <w:lang w:val="en-US" w:eastAsia="zh-CN" w:bidi="ar"/>
        </w:rPr>
        <w:t>Tanti Jumaisyaroh Siregar</w:t>
      </w:r>
      <w:r>
        <w:rPr>
          <w:rFonts w:hint="default" w:ascii="Cambria" w:hAnsi="Cambria" w:eastAsia="SimSun" w:cs="Cambria"/>
          <w:color w:val="000000"/>
          <w:kern w:val="0"/>
          <w:sz w:val="24"/>
          <w:szCs w:val="24"/>
          <w:lang w:val="en-US" w:eastAsia="zh-CN" w:bidi="ar"/>
        </w:rPr>
        <w:t xml:space="preserve">: Perbedaan Hasil Belajar Mahasiswa yang Diajarkan dengan Model Pembelajaran Kooperatif Tipe Jigsaw dan Model Pembelajaran Langsung merupakan model pembelajaran yang terpusat pada dosen yang disajikan dalam lima tahap yaitu (1) menyampaikan tujuan pembelajaran, (2) mendemonstrasikan pengetahuan dan keterampilan, (3) memberikan latihan terbimbing, (4) memberikan umpan balik dan (5) memberikan kesempatan pada pelatihan lanjutan (Asmah, 2018: 111). Pada model pembelajaran ini pembelajaran lebih didominasi oleh dosen dimana dosen sebagai sumber belajar utama. Hal ini yang diduga membuat hasil belajar mahasiswa belum sesuai dengan yang diharapkan. Salah satu cara untuk mengatasi permasalahan tersebut, penulis menerapkan model pembelajaran kooperatif tipe </w:t>
      </w:r>
      <w:r>
        <w:rPr>
          <w:rFonts w:hint="default" w:ascii="Cambria" w:hAnsi="Cambria" w:eastAsia="SimSun" w:cs="Cambria"/>
          <w:i/>
          <w:iCs/>
          <w:color w:val="000000"/>
          <w:kern w:val="0"/>
          <w:sz w:val="24"/>
          <w:szCs w:val="24"/>
          <w:lang w:val="en-US" w:eastAsia="zh-CN" w:bidi="ar"/>
        </w:rPr>
        <w:t>jigsaw</w:t>
      </w:r>
      <w:r>
        <w:rPr>
          <w:rFonts w:hint="default" w:ascii="Cambria" w:hAnsi="Cambria" w:eastAsia="SimSun" w:cs="Cambria"/>
          <w:color w:val="000000"/>
          <w:kern w:val="0"/>
          <w:sz w:val="24"/>
          <w:szCs w:val="24"/>
          <w:lang w:val="en-US" w:eastAsia="zh-CN" w:bidi="ar"/>
        </w:rPr>
        <w:t xml:space="preserve">.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merupakan model pembelajaran yang dapat membentuk mahasiswa untuk berpikir secara aktif dan kreatif dalam proses pembelajaran. Penggunaan model pembelajaran ini juga efektif dalam mengurangi monopoli dosen dalam penguasaan jalannya proses pembelajaran, dan kebosanan siswa dalam menerima pelajaran akan berkurang. Selanjutnya, model pembelajaran ini juga dapat mengembangkan seluruh potensi yang ada termasuk emosional dan keterampilan mahasiswa (Lie, 2010: 69). Selain itu, menurut Astuti &amp; Abadi (2015: 237) pada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memungkinkan mahasiswa untuk dapat saling berdiskusi, berpikir, mengemukakan pendapat dan menganalisis pendapat teman sehingga dapat meningkatkan kemampuan berpikir tingkat tinggi mahasiswa. Jika kemampuan berpikir, emosional dan keterampilan mahasiswa meningkat, maka hasil belajar mahasiswa pun juga dapat meningkat Hal tersebut juga didukung oleh hasil penelitian terdahulu terkait penerapan model pembelajaran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dan pembelajaran langsung seperti Katili (2017), Wahyuningsih, Rezeki, &amp; Zetriuslita (2013) dan Handayani (2018) yang menyatakan bahwa terdapat perbedaan yang signifikan rata-rata hasil belajar mahasiswa yang diajar dengan menerapkan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dan pembelajaran langsung. Jadi, melalui penerapan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diharapkan dapat meningkatkan hasil belajar mahasiswa. Berdasarkan penjelasan d iatas, maka peneliti tertarik untuk melakukan penelitian dengan judul “Perbedaan Hasil Belajar Mahasiswa Pada Mata Kuliah Statistik ”</w:t>
      </w:r>
      <w:r>
        <w:rPr>
          <w:rFonts w:hint="default" w:ascii="Cambria" w:hAnsi="Cambria" w:eastAsia="SimSun" w:cs="Cambria"/>
          <w:b/>
          <w:bCs/>
          <w:color w:val="000000"/>
          <w:kern w:val="0"/>
          <w:sz w:val="24"/>
          <w:szCs w:val="24"/>
          <w:lang w:val="en-US" w:eastAsia="zh-CN" w:bidi="ar"/>
        </w:rPr>
        <w:t xml:space="preserve">. </w:t>
      </w:r>
      <w:r>
        <w:rPr>
          <w:rFonts w:hint="default" w:ascii="Cambria" w:hAnsi="Cambria" w:eastAsia="SimSun" w:cs="Cambria"/>
          <w:color w:val="000000"/>
          <w:kern w:val="0"/>
          <w:sz w:val="24"/>
          <w:szCs w:val="24"/>
          <w:lang w:val="en-US" w:eastAsia="zh-CN" w:bidi="ar"/>
        </w:rPr>
        <w:t xml:space="preserve">Berikut ini akan dijelaskan mengenai teori sebagai dasar dalam penyusunan hipotesis dalam penelitian ini meliputi hasil belajar,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dan model pembelajaran langsung.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eastAsia="SimSun" w:cs="Cambria"/>
          <w:color w:val="000000"/>
          <w:kern w:val="0"/>
          <w:sz w:val="24"/>
          <w:szCs w:val="24"/>
          <w:lang w:val="en-US" w:eastAsia="zh-CN" w:bidi="ar"/>
        </w:rPr>
      </w:pPr>
      <w:r>
        <w:rPr>
          <w:rFonts w:hint="default" w:ascii="Cambria" w:hAnsi="Cambria" w:eastAsia="SimSun" w:cs="Cambria"/>
          <w:color w:val="000000"/>
          <w:kern w:val="0"/>
          <w:sz w:val="24"/>
          <w:szCs w:val="24"/>
          <w:lang w:val="en-US" w:eastAsia="zh-CN" w:bidi="ar"/>
        </w:rPr>
        <w:t xml:space="preserve">Hasil belajar merupakan salah satu </w:t>
      </w:r>
      <w:r>
        <w:rPr>
          <w:rFonts w:hint="default" w:ascii="Cambria" w:hAnsi="Cambria" w:eastAsia="SimSun" w:cs="Cambria"/>
          <w:i/>
          <w:iCs/>
          <w:color w:val="000000"/>
          <w:kern w:val="0"/>
          <w:sz w:val="24"/>
          <w:szCs w:val="24"/>
          <w:lang w:val="en-US" w:eastAsia="zh-CN" w:bidi="ar"/>
        </w:rPr>
        <w:t xml:space="preserve">output </w:t>
      </w:r>
      <w:r>
        <w:rPr>
          <w:rFonts w:hint="default" w:ascii="Cambria" w:hAnsi="Cambria" w:eastAsia="SimSun" w:cs="Cambria"/>
          <w:color w:val="000000"/>
          <w:kern w:val="0"/>
          <w:sz w:val="24"/>
          <w:szCs w:val="24"/>
          <w:lang w:val="en-US" w:eastAsia="zh-CN" w:bidi="ar"/>
        </w:rPr>
        <w:t>yang diperoleh oleh siswa setelah proses pembelajaran selesai dilaksanakan di kelas</w:t>
      </w:r>
      <w:r>
        <w:rPr>
          <w:rFonts w:hint="default" w:ascii="Cambria" w:hAnsi="Cambria" w:eastAsia="SimSun" w:cs="Cambria"/>
          <w:color w:val="FF0000"/>
          <w:kern w:val="0"/>
          <w:sz w:val="24"/>
          <w:szCs w:val="24"/>
          <w:lang w:val="en-US" w:eastAsia="zh-CN" w:bidi="ar"/>
        </w:rPr>
        <w:t xml:space="preserve">. </w:t>
      </w:r>
      <w:r>
        <w:rPr>
          <w:rFonts w:hint="default" w:ascii="Cambria" w:hAnsi="Cambria" w:eastAsia="SimSun" w:cs="Cambria"/>
          <w:color w:val="000000"/>
          <w:kern w:val="0"/>
          <w:sz w:val="24"/>
          <w:szCs w:val="24"/>
          <w:lang w:val="en-US" w:eastAsia="zh-CN" w:bidi="ar"/>
        </w:rPr>
        <w:t xml:space="preserve">Hal yang sama diungkapkan oleh Susanto (2013: 5) bahwa hasil belajar merupakan perubahan yang terjadi pada diri mahasiswa sebagai hasil dari kegiatan proses pembelajaran. Dalam hal ini perubahan yang dimaksud berbentuk perubahan perilaku mahasiswa yang sifatnya menetap. Abdullah (2015: 169) menyatakan bahwa hasil belajar merupakan hasil yang diperoleh oleh mahasiswa setelah memperoleh pengalaman belajar dan mengalami perubahan. Hasil belajar disini juga berarti kapabilitas yang dimiliki oleh mahasiswa setelah mengikuti kegiatan pembelajaran dan adanya perubahan ke arah yang positif. Rosdiati (2017: 316) yang menyatakan bahwa hasil belajar merupakan kemampuan yang dicapai oleh mahasiswa setelah mengikuti kegiatan belajar yang dinyatakan dalam bentuk angka atau skor. Menurut Yusuf (2017: 181) bahwa hasil belajar merupakan bentuk pencapaian mahasiswa dalam proses pembelajaran. Hasil belajar disini merupakan simbol keberhasilan seorang dosen dalam membelajarkan mahasiswanya. Berdasarkan beberapa penjelasan di atas, dapat disimpulkan bahwa hasil belajar merupakan keberhasilan yang dicapai oleh mahasiswa dalam proses belajar yang dapat diukur dalam bentuk skor atau angka. Ketercapaian hasil belajar dengan tujuan belajar yang telah ditetapkan menurut Susanto (2013: 6) dapat dilihat dari beberapa aspek yaitu aspek kognitif (pemahaman konsep), afektif (sikap) dan psikomotorik (keterampilan proses). Penelitian ini lebih berfokus pada aspek kognitif mahasiswa. Adapun kategori hasil belajar kognitif mahasiswa meliputi mengingat, memahami, menerapkan, menganalisis, mengevaluasi dan mencipta (Anderson et al., 2001: 66-88). Keenam kategori tersebutlah yang digunakan dalam penelitian ini sebagai acuan dalam penyusunan tes hasil belajar mahasiswa.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eastAsia="SimSun" w:cs="Cambria"/>
          <w:color w:val="000000"/>
          <w:kern w:val="0"/>
          <w:sz w:val="24"/>
          <w:szCs w:val="24"/>
          <w:lang w:val="en-US" w:eastAsia="zh-CN" w:bidi="ar"/>
        </w:rPr>
      </w:pPr>
      <w:r>
        <w:rPr>
          <w:rFonts w:hint="default" w:ascii="Cambria" w:hAnsi="Cambria" w:eastAsia="SimSun" w:cs="Cambria"/>
          <w:color w:val="000000"/>
          <w:kern w:val="0"/>
          <w:sz w:val="24"/>
          <w:szCs w:val="24"/>
          <w:lang w:val="en-US" w:eastAsia="zh-CN" w:bidi="ar"/>
        </w:rPr>
        <w:t xml:space="preserve">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merupakan salah satu jenis model pembelajaran kooperatif. Menurut Isjoni (2010: 78) bahwa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merupakan salah satu jenis pembelajaran kooperatif yang mendorong mahasiswa untuk aktif dan saling berkerjasama dalam mempelajari suatu materi. Kegiatan pembelajaran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disini dapat menciptakan sikap ketergantungan positif, bertanggung jawab dan mandiri dalam anggota setiap kelompok.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merupakan pembelajaran yang membagi mahasiswa ke dalam kelompok heterogen yang terdiri atas 5-6 orang mahasiswa yang betanggungjawab untuk menguasai suatu materi dan mengajarkannya kepada anggota kelompok lainnya (Arends, 2012:13). Kelompok yang heterogen disini berarti terdapat perbedaan anggota kelompok dari segi kemampuan, jenis kelamin, agama, suku dan sebagainya. Hal yang sama juga dinyatakan oleh Yamin (2013 : 90) bahwa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adalah penerapan kerjasama masing-masing mahasiswa dalam suatu kelompok dengan kemampuan yang heterogen dan setiap anggota kelompok bertanggung jawab atas salah satu bagian materi. Pada pembelajaran ini setiap anggota kelompok diberi bagian materi tertentu dan menjadi pakar </w:t>
      </w:r>
      <w:r>
        <w:rPr>
          <w:rFonts w:hint="default" w:ascii="Cambria" w:hAnsi="Cambria" w:eastAsia="SimSun" w:cs="Cambria"/>
          <w:i/>
          <w:iCs/>
          <w:color w:val="000000"/>
          <w:kern w:val="0"/>
          <w:sz w:val="24"/>
          <w:szCs w:val="24"/>
          <w:lang w:val="en-US" w:eastAsia="zh-CN" w:bidi="ar"/>
        </w:rPr>
        <w:t xml:space="preserve">(expert) </w:t>
      </w:r>
      <w:r>
        <w:rPr>
          <w:rFonts w:hint="default" w:ascii="Cambria" w:hAnsi="Cambria" w:eastAsia="SimSun" w:cs="Cambria"/>
          <w:color w:val="000000"/>
          <w:kern w:val="0"/>
          <w:sz w:val="24"/>
          <w:szCs w:val="24"/>
          <w:lang w:val="en-US" w:eastAsia="zh-CN" w:bidi="ar"/>
        </w:rPr>
        <w:t xml:space="preserve">pada bagian materi tersebut. Menurut Mashudi (2018: 159) bahwa model pembelajaran </w:t>
      </w:r>
      <w:r>
        <w:rPr>
          <w:rFonts w:hint="default" w:ascii="Cambria" w:hAnsi="Cambria" w:eastAsia="SimSun" w:cs="Cambria"/>
          <w:i/>
          <w:iCs/>
          <w:color w:val="000000"/>
          <w:kern w:val="0"/>
          <w:sz w:val="24"/>
          <w:szCs w:val="24"/>
          <w:lang w:val="en-US" w:eastAsia="zh-CN" w:bidi="ar"/>
        </w:rPr>
        <w:t>jigsaw</w:t>
      </w:r>
      <w:r>
        <w:rPr>
          <w:rFonts w:hint="default" w:ascii="Cambria" w:hAnsi="Cambria" w:eastAsia="SimSun" w:cs="Cambria"/>
          <w:color w:val="000000"/>
          <w:kern w:val="0"/>
          <w:sz w:val="24"/>
          <w:szCs w:val="24"/>
          <w:lang w:val="en-US" w:eastAsia="zh-CN" w:bidi="ar"/>
        </w:rPr>
        <w:t xml:space="preserve"> adalah salah satu jenis pembelajaran kooperatif yang terdiri dari beberapa orang dalam suatu kelompok dan setiap anggota kelompok bertanggung jawab atas penguasaan bagian materi belajar dan dapat mengajarkan materi tersebut kepada anggota kelompok yang lainnya. Berdasarkan penjelasan di atas, dapat disimpulkan bahwa model pembelajaran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merupakan jenis pembelajaran kooperatif yang terdiri atas kelompok mahasiswa yang heterogen khususnya dari segi kemampuan dimana setiap anggota kelompok diberi tanggungjawab sebagai tim ahli dalam menjelaskan materi bagiannya kepada anggota kelompok asalnya masing-masing. Adapun langkah-langkah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yang diterapkan dalam penelitian ini yaitu yaitu: (a) Dosen membagi topik pembelajaran menjadi beberapa subtopik dimana dosen telah memberitahu terlebih dahulu topik yang akan dibahas; (b) Dosen membagi mahasiswa kedalam beberapa kelompok; (c) Dosen membagikan masing-masing topik kepada masing-masing kelompok; (d) Setiap kelompok memberikan tugas kepada anggota kelompoknya untuk mempelajari sub topik tertentu; (e) Dosen meminta masing-masing kelompok mempelajari topik tersebut; (f) Mahasiswa yang mendapat subtopik yang sama dari masing-masing kelompok saling berkumpul untuk mendiskusikan subtopik tersebut; (g) Setelah setiap kelompok yang ditugaskan mempelajari sub topik tertentu selesai berdiskusi maka mereka kembali kepada kelompok asalnya untuk menjelaskan materi kepada teman sekelompoknya secara bergantian dan (h) dosen memberikan mahasiswa kuis yang dikerjakan individu (Arends, 2012: 13-14).</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Pembelajaran langsung merupakan salah satu jenis pembelajaran yang paling sering digunakan oleh dosen-dosen pada saat melaksanakan perkuliahan di kelas. Menurut Suyatno (2009: 73) bahwa pembelajaran langsung merupakan suatu pendekatan pengajaran yang dapat membantu mahasiswa untuk memperoleh informasi yang dapat diajarkan tahap demi tahap. Pengetahuan yang bersifat informasi akan lebih efektif jika disampaikan dengan cara pembelajaran langsung. Pembelajaran langsung adalah suatu pembelajaran yang bersifat berpusat pada dosen (</w:t>
      </w:r>
      <w:r>
        <w:rPr>
          <w:rFonts w:hint="default" w:ascii="Cambria" w:hAnsi="Cambria" w:eastAsia="SimSun" w:cs="Cambria"/>
          <w:i/>
          <w:iCs/>
          <w:color w:val="000000"/>
          <w:kern w:val="0"/>
          <w:sz w:val="24"/>
          <w:szCs w:val="24"/>
          <w:lang w:val="en-US" w:eastAsia="zh-CN" w:bidi="ar"/>
        </w:rPr>
        <w:t>teacher center</w:t>
      </w:r>
      <w:r>
        <w:rPr>
          <w:rFonts w:hint="default" w:ascii="Cambria" w:hAnsi="Cambria" w:eastAsia="SimSun" w:cs="Cambria"/>
          <w:color w:val="000000"/>
          <w:kern w:val="0"/>
          <w:sz w:val="24"/>
          <w:szCs w:val="24"/>
          <w:lang w:val="en-US" w:eastAsia="zh-CN" w:bidi="ar"/>
        </w:rPr>
        <w:t>) atau pembelajaran yang menekankan pada dominasi dosen (Riyanto, 2010: 280). Pembelajaran ini sering juga disebut dengan pembelajaran yang berpusat pada dosen.</w:t>
      </w:r>
      <w:r>
        <w:rPr>
          <w:rFonts w:hint="default" w:ascii="Cambria" w:hAnsi="Cambria" w:eastAsia="SimSun" w:cs="Cambria"/>
          <w:b/>
          <w:bCs/>
          <w:color w:val="000000"/>
          <w:kern w:val="0"/>
          <w:sz w:val="24"/>
          <w:szCs w:val="24"/>
          <w:lang w:val="en-US" w:eastAsia="zh-CN" w:bidi="ar"/>
        </w:rPr>
        <w:t>Tanti Jumaisyaroh Siregar</w:t>
      </w:r>
      <w:r>
        <w:rPr>
          <w:rFonts w:hint="default" w:ascii="Cambria" w:hAnsi="Cambria" w:eastAsia="SimSun" w:cs="Cambria"/>
          <w:color w:val="000000"/>
          <w:kern w:val="0"/>
          <w:sz w:val="24"/>
          <w:szCs w:val="24"/>
          <w:lang w:val="en-US" w:eastAsia="zh-CN" w:bidi="ar"/>
        </w:rPr>
        <w:t xml:space="preserve">: Perbedaan Hasil Belajar Mahasiswa yang Diajarkan dengan Model Pembelajaran Kooperatif Tipe Jigsaw dan Model Pembelajaran Langsung Menurut Trianto (2011:41) juga menyatakan bahwa pembelajaran langsung merupakan salah satu pembelajaran yang dirancang khusus untuk menunjang proses belajar mahasiswa yang berkaitan dengan pengetahuan deklaratif dan pengetahuan prosedural yang terstruktur dengan baik yang dapat diajarkan dengan pola kegiatan yang bertahap selangkah demi selangkah. Hal yang sama juga dinyatakan oleh Arends (2012: 294) pembelajaran langsung adalah pembelajaran yang digunakan untuk membantu mahasiswa mempelajari mempelajari pengetahuan dasar berupa pengetahuan konseptual yang dapat diajarkan dengan secara langkah demi langkah. Jadi, berdasarkan beberapa pendapat ahli di atas maka dapat disimpulkan bahwa pembelajaran langsung adalah pembelajaran yang berpusat pada dosen yang dirancang untuk membantu mahasiswa belajar pengetahuan dasar dengan cara bertahap. Sintaks pembelajaran langsung yang diterapkan dalam penelitian ini adalah sebagai berikut: (1) Dosen menjelaskan TPK, informasi latar belakang pentingnya pelajaran, mempersiapkan mahasiswa untuk belajar; (2) Dosen mendemonstrasikan keterampilan dengan benar, atau menyajikan informasi tahap demi tahap; (3) Dosen merencanakan dan memberi bimbingan pelatihan awal; (4) Mengecek apakah mahasiswa telah berhasil melakukan tugas dengan baik, memberi umpan balik; (5) Dosen mempersiapkan kesempatan melakukan pelatihan lanjutan, dengan perhatian khusus pada penerapan kepada situasi lebih kompleks (Trianto, 2011: 43).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eastAsia="SimSun" w:cs="Cambria"/>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8"/>
          <w:szCs w:val="28"/>
        </w:rPr>
      </w:pPr>
      <w:r>
        <w:rPr>
          <w:rFonts w:hint="default" w:ascii="Cambria" w:hAnsi="Cambria" w:eastAsia="SimSun" w:cs="Cambria"/>
          <w:b/>
          <w:bCs/>
          <w:color w:val="000000"/>
          <w:kern w:val="0"/>
          <w:sz w:val="28"/>
          <w:szCs w:val="28"/>
          <w:lang w:val="en-US" w:eastAsia="zh-CN" w:bidi="ar"/>
        </w:rPr>
        <w:t xml:space="preserve">C. Metode Penelitiaan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eastAsia="SimSun" w:cs="Cambria"/>
          <w:color w:val="000000"/>
          <w:kern w:val="0"/>
          <w:sz w:val="24"/>
          <w:szCs w:val="24"/>
          <w:lang w:val="en-US" w:eastAsia="zh-CN" w:bidi="ar"/>
        </w:rPr>
      </w:pPr>
      <w:r>
        <w:rPr>
          <w:rFonts w:hint="default" w:ascii="Cambria" w:hAnsi="Cambria" w:eastAsia="SimSun" w:cs="Cambria"/>
          <w:color w:val="000000"/>
          <w:kern w:val="0"/>
          <w:sz w:val="24"/>
          <w:szCs w:val="24"/>
          <w:lang w:val="en-US" w:eastAsia="zh-CN" w:bidi="ar"/>
        </w:rPr>
        <w:t xml:space="preserve">Penelitian ini merupakan salah satu jenis penelitian kuantitatif dengan menggunakan model kuasi eksperimen dengan desain kelompok </w:t>
      </w:r>
      <w:r>
        <w:rPr>
          <w:rFonts w:hint="default" w:ascii="Cambria" w:hAnsi="Cambria" w:eastAsia="SimSun" w:cs="Cambria"/>
          <w:i/>
          <w:iCs/>
          <w:color w:val="000000"/>
          <w:kern w:val="0"/>
          <w:sz w:val="24"/>
          <w:szCs w:val="24"/>
          <w:lang w:val="en-US" w:eastAsia="zh-CN" w:bidi="ar"/>
        </w:rPr>
        <w:t xml:space="preserve">posttest only control group design </w:t>
      </w:r>
      <w:r>
        <w:rPr>
          <w:rFonts w:hint="default" w:ascii="Cambria" w:hAnsi="Cambria" w:eastAsia="SimSun" w:cs="Cambria"/>
          <w:color w:val="000000"/>
          <w:kern w:val="0"/>
          <w:sz w:val="24"/>
          <w:szCs w:val="24"/>
          <w:lang w:val="en-US" w:eastAsia="zh-CN" w:bidi="ar"/>
        </w:rPr>
        <w:t xml:space="preserve">yang bertujuan untuk mengetahui perbedaan hasil belajar mahasiswa yang diajarkan dengan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dan model pembelajaran langsung. Pada penelitian ini terdapat dua kelompok dimana sampel yang diberikan perlakuan(pembelajaran kooperatif tipe </w:t>
      </w:r>
      <w:r>
        <w:rPr>
          <w:rFonts w:hint="default" w:ascii="Cambria" w:hAnsi="Cambria" w:eastAsia="SimSun" w:cs="Cambria"/>
          <w:i/>
          <w:iCs/>
          <w:color w:val="000000"/>
          <w:kern w:val="0"/>
          <w:sz w:val="24"/>
          <w:szCs w:val="24"/>
          <w:lang w:val="en-US" w:eastAsia="zh-CN" w:bidi="ar"/>
        </w:rPr>
        <w:t>jigsaw</w:t>
      </w:r>
      <w:r>
        <w:rPr>
          <w:rFonts w:hint="default" w:ascii="Cambria" w:hAnsi="Cambria" w:eastAsia="SimSun" w:cs="Cambria"/>
          <w:color w:val="000000"/>
          <w:kern w:val="0"/>
          <w:sz w:val="24"/>
          <w:szCs w:val="24"/>
          <w:lang w:val="en-US" w:eastAsia="zh-CN" w:bidi="ar"/>
        </w:rPr>
        <w:t xml:space="preserve">) disebut kelompok eksperimen, sedangkan kelompok yang tidak mendapatkan perlakuan disebut kelompok kontrol (pembelajaran langsung).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eastAsia="SimSun" w:cs="Cambria"/>
          <w:i/>
          <w:iCs/>
          <w:color w:val="000000"/>
          <w:kern w:val="0"/>
          <w:sz w:val="24"/>
          <w:szCs w:val="24"/>
          <w:lang w:val="en-US" w:eastAsia="zh-CN" w:bidi="ar"/>
        </w:rPr>
      </w:pPr>
      <w:r>
        <w:rPr>
          <w:rFonts w:hint="default" w:ascii="Cambria" w:hAnsi="Cambria" w:eastAsia="SimSun" w:cs="Cambria"/>
          <w:color w:val="000000"/>
          <w:kern w:val="0"/>
          <w:sz w:val="24"/>
          <w:szCs w:val="24"/>
          <w:lang w:val="en-US" w:eastAsia="zh-CN" w:bidi="ar"/>
        </w:rPr>
        <w:t xml:space="preserve">Penelitian ini dilaksanakan pada semester ganjil tahun ajaran 2022/2023 pada bulan September 2022 sampai Januari 2023. Penelitian Ini dilaksanakan di IAIN Pontianak Prodi Pendidikan Agama Islam. Populasi dalam penelitian ini meliputi seluruh mahasiswa prodi pendidikan agama islam di  IAIN Pontiank pada mata kuliah statistik. Sampel dalam penelitian ini melibatkan mahasiswa semester IV yang terdiri dari dua kelas, yaitu kelas eksperimen sebanyak 39 orang dan kelas kontrol sebanyak 37 orang. Kedua kelas sampel ini dipilih secara acak menggunakan </w:t>
      </w:r>
      <w:r>
        <w:rPr>
          <w:rFonts w:hint="default" w:ascii="Cambria" w:hAnsi="Cambria" w:eastAsia="SimSun" w:cs="Cambria"/>
          <w:i/>
          <w:iCs/>
          <w:color w:val="000000"/>
          <w:kern w:val="0"/>
          <w:sz w:val="24"/>
          <w:szCs w:val="24"/>
          <w:lang w:val="en-US" w:eastAsia="zh-CN" w:bidi="ar"/>
        </w:rPr>
        <w:t xml:space="preserve">cluster random sampling.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Prosedur yang dilakukan dalam penelitian ini adalah sebagai berikut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a. Studi pendahuluan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Kegiatan yang dilakukan yaitu merumuskan identifikasi masalah, rumusan masalah, studi literarur dan pengembangan perangkat penelitian berupa bahan ajar (materi), serta instrumen penelitian (tes hasil belajar) kemudian perangkat pembelajaran serta instrumen penelitian diberikan kepada validator untuk diperiksa terkait dengan penulisan, penyusunan dan bahasa kalimat yang selanjutnya dinilai apakah perangkat pembelajaran serta instrumen penelitian layak atau tidak untuk diujicobakan kepada mahasiswa.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b. Penentuan populasi dan sampel penelitian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Berdasarkan populasi kelas yang ada maka dipilih dua kelas masing-masing terdiri dari satu kelas eksperimen dan satu kelas kontrol. Kelas yang terpilih sebagai kelas eksperimen diberi perlakuan berupa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sedangkan kelas yang terpilih sebagai kelas kontrol diajar dengan pembelajaran langsung.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d. Penerapan Model Pembelajaran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di kelas eksperimen dan pembelajaran langsung diterapkan pada kelas kontrol selama 8 minggu.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i/>
          <w:iCs/>
          <w:color w:val="000000"/>
          <w:kern w:val="0"/>
          <w:sz w:val="24"/>
          <w:szCs w:val="24"/>
          <w:lang w:val="en-US" w:eastAsia="zh-CN" w:bidi="ar"/>
        </w:rPr>
        <w:t xml:space="preserve">e. </w:t>
      </w:r>
      <w:r>
        <w:rPr>
          <w:rFonts w:hint="default" w:ascii="Cambria" w:hAnsi="Cambria" w:eastAsia="SimSun" w:cs="Cambria"/>
          <w:color w:val="000000"/>
          <w:kern w:val="0"/>
          <w:sz w:val="24"/>
          <w:szCs w:val="24"/>
          <w:lang w:val="en-US" w:eastAsia="zh-CN" w:bidi="ar"/>
        </w:rPr>
        <w:t xml:space="preserve">Pemberian Soal </w:t>
      </w:r>
      <w:r>
        <w:rPr>
          <w:rFonts w:hint="default" w:ascii="Cambria" w:hAnsi="Cambria" w:eastAsia="SimSun" w:cs="Cambria"/>
          <w:i/>
          <w:iCs/>
          <w:color w:val="000000"/>
          <w:kern w:val="0"/>
          <w:sz w:val="24"/>
          <w:szCs w:val="24"/>
          <w:lang w:val="en-US" w:eastAsia="zh-CN" w:bidi="ar"/>
        </w:rPr>
        <w:t xml:space="preserve">Post Test </w:t>
      </w:r>
      <w:r>
        <w:rPr>
          <w:rFonts w:hint="default" w:ascii="Cambria" w:hAnsi="Cambria" w:eastAsia="SimSun" w:cs="Cambria"/>
          <w:color w:val="000000"/>
          <w:kern w:val="0"/>
          <w:sz w:val="24"/>
          <w:szCs w:val="24"/>
          <w:lang w:val="en-US" w:eastAsia="zh-CN" w:bidi="ar"/>
        </w:rPr>
        <w:t xml:space="preserve">pada Kedua Sampel Penelitian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Pada akhir pertemuan kedua kelas baik kelas eksperimen maupun kelas kontrol diberikan soal </w:t>
      </w:r>
      <w:r>
        <w:rPr>
          <w:rFonts w:hint="default" w:ascii="Cambria" w:hAnsi="Cambria" w:eastAsia="SimSun" w:cs="Cambria"/>
          <w:i/>
          <w:iCs/>
          <w:color w:val="000000"/>
          <w:kern w:val="0"/>
          <w:sz w:val="24"/>
          <w:szCs w:val="24"/>
          <w:lang w:val="en-US" w:eastAsia="zh-CN" w:bidi="ar"/>
        </w:rPr>
        <w:t xml:space="preserve">post test </w:t>
      </w:r>
      <w:r>
        <w:rPr>
          <w:rFonts w:hint="default" w:ascii="Cambria" w:hAnsi="Cambria" w:eastAsia="SimSun" w:cs="Cambria"/>
          <w:color w:val="000000"/>
          <w:kern w:val="0"/>
          <w:sz w:val="24"/>
          <w:szCs w:val="24"/>
          <w:lang w:val="en-US" w:eastAsia="zh-CN" w:bidi="ar"/>
        </w:rPr>
        <w:t xml:space="preserve">hasil belajar mahasiswa untuk diselesaikan oleh mahasiswa sehingga diperoleh data hasil belajar mahasiswa.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f. Analisis Data dan Penulisan Laporan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Data hasil belajar mahasiswa yang telah diperoleh diperiksa, diberi skor, disusun, diolah dan dianalisis dengan menggunakan analisis statistik yang sudah direncanakan sebelumnya yaitu berupa uji normalitas, uji homogenitas, uji t sehingga diperoleh beberapa hasil dalam pelaksanaan penelitian. Hasil penelitian yang ada ditulis ke dalam laporan yang berisi deskripsi hasil penelitian, pengujian hipotesis dan pembahasan pada saat penelitian serta dibuat kesimpulan terkait dengan hasil yang diperoleh dalam pelaksanaan penelitian.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Jenis data dalam penelitian ini adalah data kuantitatif. Instrumen yang digunakan untuk memperoleh data dalam penelitian ini adalah tes hasil belajar dalam mata kuliah metode sebanyak sebanyak 6 soal berbentuk </w:t>
      </w:r>
      <w:r>
        <w:rPr>
          <w:rFonts w:hint="default" w:ascii="Cambria" w:hAnsi="Cambria" w:eastAsia="SimSun" w:cs="Cambria"/>
          <w:i/>
          <w:iCs/>
          <w:color w:val="000000"/>
          <w:kern w:val="0"/>
          <w:sz w:val="24"/>
          <w:szCs w:val="24"/>
          <w:lang w:val="en-US" w:eastAsia="zh-CN" w:bidi="ar"/>
        </w:rPr>
        <w:t>essay test</w:t>
      </w:r>
      <w:r>
        <w:rPr>
          <w:rFonts w:hint="default" w:ascii="Cambria" w:hAnsi="Cambria" w:eastAsia="SimSun" w:cs="Cambria"/>
          <w:color w:val="000000"/>
          <w:kern w:val="0"/>
          <w:sz w:val="24"/>
          <w:szCs w:val="24"/>
          <w:lang w:val="en-US" w:eastAsia="zh-CN" w:bidi="ar"/>
        </w:rPr>
        <w:t xml:space="preserve">. Seluruh butir soal tes dinyatakan valid dan memiliki derajat reliabillitas tinggi berdasarkan hasil uji coba.Teknik yang digunakan untuk mengumpulkan data dalam penelitian ini yaitu dengan memberikan tes hasil belajar kepada mahasiswa di kelas eksperimen dan kelas kontrol.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Data dianalisis dengan menggunakan statistik inferensial dalam melakukan pengujian terhadap hipotesis, Sebelum dilakukan pengujian hipotesis maka dilakukan terlebih dulu uji prasyarat yaitu uji normalitas dan homogenitas terhadap skor </w:t>
      </w:r>
      <w:r>
        <w:rPr>
          <w:rFonts w:hint="default" w:ascii="Cambria" w:hAnsi="Cambria" w:eastAsia="SimSun" w:cs="Cambria"/>
          <w:i/>
          <w:iCs/>
          <w:color w:val="000000"/>
          <w:kern w:val="0"/>
          <w:sz w:val="24"/>
          <w:szCs w:val="24"/>
          <w:lang w:val="en-US" w:eastAsia="zh-CN" w:bidi="ar"/>
        </w:rPr>
        <w:t xml:space="preserve">post test </w:t>
      </w:r>
      <w:r>
        <w:rPr>
          <w:rFonts w:hint="default" w:ascii="Cambria" w:hAnsi="Cambria" w:eastAsia="SimSun" w:cs="Cambria"/>
          <w:color w:val="000000"/>
          <w:kern w:val="0"/>
          <w:sz w:val="24"/>
          <w:szCs w:val="24"/>
          <w:lang w:val="en-US" w:eastAsia="zh-CN" w:bidi="ar"/>
        </w:rPr>
        <w:t xml:space="preserve">hasil belajar baik dikelas eksperimen maupun kelas kontrol. Jika uji prasyarat sudah terpenuhi maka selanjutnya dilakukan pengujian hipotesis menggunakan uji-t.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eastAsia="SimSun" w:cs="Cambria"/>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b/>
          <w:bCs/>
          <w:color w:val="000000"/>
          <w:kern w:val="0"/>
          <w:sz w:val="24"/>
          <w:szCs w:val="24"/>
          <w:lang w:val="en-US" w:eastAsia="zh-CN" w:bidi="ar"/>
        </w:rPr>
        <w:t xml:space="preserve">D. Hasil Penelitian dan Pembahasan </w:t>
      </w:r>
    </w:p>
    <w:p>
      <w:pPr>
        <w:spacing w:line="240" w:lineRule="auto"/>
        <w:ind w:firstLine="567"/>
        <w:jc w:val="both"/>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Berdasarkan hasil analisis deskriptif terhadap </w:t>
      </w:r>
      <w:r>
        <w:rPr>
          <w:rFonts w:hint="default" w:ascii="Cambria" w:hAnsi="Cambria" w:cs="Cambria"/>
          <w:sz w:val="24"/>
          <w:szCs w:val="24"/>
        </w:rPr>
        <w:t>Anava Satu jalan di analisis menggunakan program software SPSS versi 20.0. Sebelum melakukan analisis tersebut terlebih dahulu dilakukan uji prasyarat analisis. Uji prasyarat analisis yang dilakukan adalah uji normalitas dan homogenitas terhadap hasil belajar statistika mahasiswa baik laki-laki maupun perempuan. Hal ini dilakukan untuk mengetahui apakah data berdistribusi normal atau tidak dan dalam keadaan homogen atau tidak.</w:t>
      </w:r>
    </w:p>
    <w:p>
      <w:pPr>
        <w:spacing w:line="240" w:lineRule="auto"/>
        <w:ind w:firstLine="567"/>
        <w:jc w:val="both"/>
        <w:rPr>
          <w:rFonts w:hint="default" w:ascii="Cambria" w:hAnsi="Cambria" w:cs="Cambria"/>
          <w:sz w:val="24"/>
          <w:szCs w:val="24"/>
        </w:rPr>
      </w:pPr>
      <w:r>
        <w:rPr>
          <w:rFonts w:hint="default" w:ascii="Cambria" w:hAnsi="Cambria" w:cs="Cambria"/>
          <w:sz w:val="24"/>
          <w:szCs w:val="24"/>
        </w:rPr>
        <w:t>Uji normalitas dengan menggunakan program software SPSS versi 20.0 untuk mengetahui apakah data berdistribusi normal atau tidak. Hasil perhitungan uji normalitas disajikan dalam tabel sebagai berikut:</w:t>
      </w:r>
    </w:p>
    <w:p>
      <w:pPr>
        <w:pStyle w:val="8"/>
        <w:spacing w:after="0" w:line="240" w:lineRule="auto"/>
        <w:ind w:left="426"/>
        <w:jc w:val="center"/>
        <w:rPr>
          <w:rFonts w:hint="default" w:ascii="Cambria" w:hAnsi="Cambria" w:cs="Cambria"/>
          <w:b w:val="0"/>
          <w:bCs/>
          <w:sz w:val="24"/>
          <w:szCs w:val="24"/>
        </w:rPr>
      </w:pPr>
      <w:r>
        <w:rPr>
          <w:rFonts w:hint="default" w:ascii="Cambria" w:hAnsi="Cambria" w:cs="Cambria"/>
          <w:b w:val="0"/>
          <w:bCs/>
          <w:sz w:val="24"/>
          <w:szCs w:val="24"/>
        </w:rPr>
        <w:t>Tabel 1</w:t>
      </w:r>
    </w:p>
    <w:p>
      <w:pPr>
        <w:pStyle w:val="8"/>
        <w:spacing w:after="0" w:line="240" w:lineRule="auto"/>
        <w:ind w:left="426"/>
        <w:jc w:val="center"/>
        <w:rPr>
          <w:rFonts w:hint="default" w:ascii="Cambria" w:hAnsi="Cambria" w:cs="Cambria"/>
          <w:b w:val="0"/>
          <w:bCs/>
          <w:sz w:val="24"/>
          <w:szCs w:val="24"/>
        </w:rPr>
      </w:pPr>
      <w:r>
        <w:rPr>
          <w:rFonts w:hint="default" w:ascii="Cambria" w:hAnsi="Cambria" w:cs="Cambria"/>
          <w:b w:val="0"/>
          <w:bCs/>
          <w:sz w:val="24"/>
          <w:szCs w:val="24"/>
        </w:rPr>
        <w:t>Uji Normalitas</w:t>
      </w:r>
    </w:p>
    <w:tbl>
      <w:tblPr>
        <w:tblStyle w:val="3"/>
        <w:tblpPr w:leftFromText="180" w:rightFromText="180" w:vertAnchor="text" w:horzAnchor="page" w:tblpX="2469" w:tblpY="306"/>
        <w:tblOverlap w:val="never"/>
        <w:tblW w:w="714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68"/>
        <w:gridCol w:w="1030"/>
        <w:gridCol w:w="1030"/>
        <w:gridCol w:w="1030"/>
        <w:gridCol w:w="1030"/>
        <w:gridCol w:w="1030"/>
        <w:gridCol w:w="1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142" w:type="dxa"/>
            <w:gridSpan w:val="7"/>
            <w:tcBorders>
              <w:top w:val="nil"/>
              <w:left w:val="nil"/>
              <w:bottom w:val="nil"/>
              <w:right w:val="nil"/>
            </w:tcBorders>
            <w:shd w:val="clear" w:color="auto" w:fill="FFFFFF"/>
            <w:vAlign w:val="center"/>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Tests of Normality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968" w:type="dxa"/>
            <w:vMerge w:val="restart"/>
            <w:tcBorders>
              <w:top w:val="single" w:color="000000" w:sz="16" w:space="0"/>
              <w:left w:val="single" w:color="000000" w:sz="16" w:space="0"/>
              <w:bottom w:val="nil"/>
              <w:right w:val="single" w:color="000000" w:sz="16" w:space="0"/>
            </w:tcBorders>
            <w:shd w:val="clear" w:color="auto" w:fill="FFFFFF"/>
            <w:vAlign w:val="bottom"/>
          </w:tcPr>
          <w:p>
            <w:pPr>
              <w:autoSpaceDE w:val="0"/>
              <w:autoSpaceDN w:val="0"/>
              <w:adjustRightInd w:val="0"/>
              <w:spacing w:after="0" w:line="240" w:lineRule="auto"/>
              <w:rPr>
                <w:rFonts w:ascii="Times New Roman" w:hAnsi="Times New Roman" w:cs="Times New Roman"/>
                <w:sz w:val="24"/>
                <w:szCs w:val="24"/>
              </w:rPr>
            </w:pPr>
          </w:p>
        </w:tc>
        <w:tc>
          <w:tcPr>
            <w:tcW w:w="3087" w:type="dxa"/>
            <w:gridSpan w:val="3"/>
            <w:tcBorders>
              <w:top w:val="single" w:color="000000" w:sz="16" w:space="0"/>
              <w:left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Kolmogorov-Smirnov</w:t>
            </w:r>
            <w:r>
              <w:rPr>
                <w:rFonts w:ascii="Arial" w:hAnsi="Arial" w:cs="Arial"/>
                <w:color w:val="000000"/>
                <w:sz w:val="18"/>
                <w:szCs w:val="18"/>
                <w:vertAlign w:val="superscript"/>
              </w:rPr>
              <w:t>a</w:t>
            </w:r>
          </w:p>
        </w:tc>
        <w:tc>
          <w:tcPr>
            <w:tcW w:w="3087" w:type="dxa"/>
            <w:gridSpan w:val="3"/>
            <w:tcBorders>
              <w:top w:val="single" w:color="000000" w:sz="16" w:space="0"/>
              <w:right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Shapiro-Wilk</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968" w:type="dxa"/>
            <w:vMerge w:val="continue"/>
            <w:tcBorders>
              <w:top w:val="single" w:color="000000" w:sz="16" w:space="0"/>
              <w:left w:val="single" w:color="000000" w:sz="16" w:space="0"/>
              <w:bottom w:val="nil"/>
              <w:right w:val="single" w:color="000000" w:sz="16" w:space="0"/>
            </w:tcBorders>
            <w:shd w:val="clear" w:color="auto" w:fill="FFFFFF"/>
            <w:vAlign w:val="bottom"/>
          </w:tcPr>
          <w:p>
            <w:pPr>
              <w:autoSpaceDE w:val="0"/>
              <w:autoSpaceDN w:val="0"/>
              <w:adjustRightInd w:val="0"/>
              <w:spacing w:after="0" w:line="240" w:lineRule="auto"/>
              <w:rPr>
                <w:rFonts w:ascii="Arial" w:hAnsi="Arial" w:cs="Arial"/>
                <w:color w:val="000000"/>
                <w:sz w:val="18"/>
                <w:szCs w:val="18"/>
              </w:rPr>
            </w:pPr>
          </w:p>
        </w:tc>
        <w:tc>
          <w:tcPr>
            <w:tcW w:w="1029" w:type="dxa"/>
            <w:tcBorders>
              <w:left w:val="single" w:color="000000" w:sz="16" w:space="0"/>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Statistic</w:t>
            </w:r>
          </w:p>
        </w:tc>
        <w:tc>
          <w:tcPr>
            <w:tcW w:w="1029" w:type="dxa"/>
            <w:tcBorders>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df</w:t>
            </w:r>
          </w:p>
        </w:tc>
        <w:tc>
          <w:tcPr>
            <w:tcW w:w="1029" w:type="dxa"/>
            <w:tcBorders>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Sig.</w:t>
            </w:r>
          </w:p>
        </w:tc>
        <w:tc>
          <w:tcPr>
            <w:tcW w:w="1029" w:type="dxa"/>
            <w:tcBorders>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Statistic</w:t>
            </w:r>
          </w:p>
        </w:tc>
        <w:tc>
          <w:tcPr>
            <w:tcW w:w="1029" w:type="dxa"/>
            <w:tcBorders>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df</w:t>
            </w:r>
          </w:p>
        </w:tc>
        <w:tc>
          <w:tcPr>
            <w:tcW w:w="1029" w:type="dxa"/>
            <w:tcBorders>
              <w:bottom w:val="single" w:color="000000" w:sz="16" w:space="0"/>
              <w:right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968" w:type="dxa"/>
            <w:tcBorders>
              <w:top w:val="single" w:color="000000" w:sz="16" w:space="0"/>
              <w:left w:val="single" w:color="000000" w:sz="16" w:space="0"/>
              <w:bottom w:val="nil"/>
              <w:right w:val="single" w:color="000000" w:sz="16" w:space="0"/>
            </w:tcBorders>
            <w:shd w:val="clear" w:color="auto" w:fill="FFFFFF"/>
          </w:tcPr>
          <w:p>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Kelas C</w:t>
            </w:r>
          </w:p>
        </w:tc>
        <w:tc>
          <w:tcPr>
            <w:tcW w:w="1029" w:type="dxa"/>
            <w:tcBorders>
              <w:top w:val="single" w:color="000000" w:sz="16" w:space="0"/>
              <w:left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,413</w:t>
            </w:r>
          </w:p>
        </w:tc>
        <w:tc>
          <w:tcPr>
            <w:tcW w:w="1029"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hint="default" w:ascii="Arial" w:hAnsi="Arial" w:cs="Arial"/>
                <w:color w:val="000000"/>
                <w:sz w:val="18"/>
                <w:szCs w:val="18"/>
                <w:lang w:val="en-US"/>
              </w:rPr>
            </w:pPr>
            <w:r>
              <w:rPr>
                <w:rFonts w:ascii="Arial" w:hAnsi="Arial" w:cs="Arial"/>
                <w:color w:val="000000"/>
                <w:sz w:val="18"/>
                <w:szCs w:val="18"/>
              </w:rPr>
              <w:t>3</w:t>
            </w:r>
            <w:r>
              <w:rPr>
                <w:rFonts w:hint="default" w:ascii="Arial" w:hAnsi="Arial" w:cs="Arial"/>
                <w:color w:val="000000"/>
                <w:sz w:val="18"/>
                <w:szCs w:val="18"/>
                <w:lang w:val="en-US"/>
              </w:rPr>
              <w:t>9</w:t>
            </w:r>
          </w:p>
        </w:tc>
        <w:tc>
          <w:tcPr>
            <w:tcW w:w="1029"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hint="default" w:ascii="Arial" w:hAnsi="Arial" w:cs="Arial"/>
                <w:color w:val="000000"/>
                <w:sz w:val="18"/>
                <w:szCs w:val="18"/>
                <w:lang w:val="en-US"/>
              </w:rPr>
            </w:pPr>
            <w:r>
              <w:rPr>
                <w:rFonts w:ascii="Arial" w:hAnsi="Arial" w:cs="Arial"/>
                <w:color w:val="000000"/>
                <w:sz w:val="18"/>
                <w:szCs w:val="18"/>
              </w:rPr>
              <w:t>,</w:t>
            </w:r>
            <w:r>
              <w:rPr>
                <w:rFonts w:hint="default" w:ascii="Arial" w:hAnsi="Arial" w:cs="Arial"/>
                <w:color w:val="000000"/>
                <w:sz w:val="18"/>
                <w:szCs w:val="18"/>
                <w:lang w:val="en-US"/>
              </w:rPr>
              <w:t>125</w:t>
            </w:r>
          </w:p>
        </w:tc>
        <w:tc>
          <w:tcPr>
            <w:tcW w:w="1029"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,470</w:t>
            </w:r>
          </w:p>
        </w:tc>
        <w:tc>
          <w:tcPr>
            <w:tcW w:w="1029"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hint="default" w:ascii="Arial" w:hAnsi="Arial" w:cs="Arial"/>
                <w:color w:val="000000"/>
                <w:sz w:val="18"/>
                <w:szCs w:val="18"/>
                <w:lang w:val="en-US"/>
              </w:rPr>
            </w:pPr>
            <w:r>
              <w:rPr>
                <w:rFonts w:hint="default" w:ascii="Arial" w:hAnsi="Arial" w:cs="Arial"/>
                <w:color w:val="000000"/>
                <w:sz w:val="18"/>
                <w:szCs w:val="18"/>
                <w:lang w:val="en-US"/>
              </w:rPr>
              <w:t>39</w:t>
            </w:r>
          </w:p>
        </w:tc>
        <w:tc>
          <w:tcPr>
            <w:tcW w:w="1029" w:type="dxa"/>
            <w:tcBorders>
              <w:top w:val="single" w:color="000000" w:sz="16" w:space="0"/>
              <w:bottom w:val="nil"/>
              <w:right w:val="single" w:color="000000" w:sz="16" w:space="0"/>
            </w:tcBorders>
            <w:shd w:val="clear" w:color="auto" w:fill="FFFFFF"/>
            <w:vAlign w:val="center"/>
          </w:tcPr>
          <w:p>
            <w:pPr>
              <w:autoSpaceDE w:val="0"/>
              <w:autoSpaceDN w:val="0"/>
              <w:adjustRightInd w:val="0"/>
              <w:spacing w:after="0" w:line="240" w:lineRule="auto"/>
              <w:ind w:left="60" w:right="60"/>
              <w:jc w:val="right"/>
              <w:rPr>
                <w:rFonts w:hint="default" w:ascii="Arial" w:hAnsi="Arial" w:cs="Arial"/>
                <w:color w:val="000000"/>
                <w:sz w:val="18"/>
                <w:szCs w:val="18"/>
                <w:lang w:val="en-US"/>
              </w:rPr>
            </w:pPr>
            <w:r>
              <w:rPr>
                <w:rFonts w:ascii="Arial" w:hAnsi="Arial" w:cs="Arial"/>
                <w:color w:val="000000"/>
                <w:sz w:val="18"/>
                <w:szCs w:val="18"/>
              </w:rPr>
              <w:t>,0</w:t>
            </w:r>
            <w:r>
              <w:rPr>
                <w:rFonts w:hint="default" w:ascii="Arial" w:hAnsi="Arial" w:cs="Arial"/>
                <w:color w:val="000000"/>
                <w:sz w:val="18"/>
                <w:szCs w:val="18"/>
                <w:lang w:val="en-US"/>
              </w:rPr>
              <w:t>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968" w:type="dxa"/>
            <w:tcBorders>
              <w:top w:val="nil"/>
              <w:left w:val="single" w:color="000000" w:sz="16" w:space="0"/>
              <w:bottom w:val="single" w:color="000000" w:sz="16" w:space="0"/>
              <w:right w:val="single" w:color="000000" w:sz="16" w:space="0"/>
            </w:tcBorders>
            <w:shd w:val="clear" w:color="auto" w:fill="FFFFFF"/>
          </w:tcPr>
          <w:p>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Kelas F</w:t>
            </w:r>
          </w:p>
        </w:tc>
        <w:tc>
          <w:tcPr>
            <w:tcW w:w="1029" w:type="dxa"/>
            <w:tcBorders>
              <w:top w:val="nil"/>
              <w:left w:val="single" w:color="000000" w:sz="16" w:space="0"/>
              <w:bottom w:val="single" w:color="000000" w:sz="16"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,371</w:t>
            </w:r>
          </w:p>
        </w:tc>
        <w:tc>
          <w:tcPr>
            <w:tcW w:w="1029" w:type="dxa"/>
            <w:tcBorders>
              <w:top w:val="nil"/>
              <w:bottom w:val="single" w:color="000000" w:sz="16"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37</w:t>
            </w:r>
          </w:p>
        </w:tc>
        <w:tc>
          <w:tcPr>
            <w:tcW w:w="1029" w:type="dxa"/>
            <w:tcBorders>
              <w:top w:val="nil"/>
              <w:bottom w:val="single" w:color="000000" w:sz="16" w:space="0"/>
            </w:tcBorders>
            <w:shd w:val="clear" w:color="auto" w:fill="FFFFFF"/>
            <w:vAlign w:val="center"/>
          </w:tcPr>
          <w:p>
            <w:pPr>
              <w:autoSpaceDE w:val="0"/>
              <w:autoSpaceDN w:val="0"/>
              <w:adjustRightInd w:val="0"/>
              <w:spacing w:after="0" w:line="240" w:lineRule="auto"/>
              <w:ind w:left="60" w:right="60"/>
              <w:jc w:val="right"/>
              <w:rPr>
                <w:rFonts w:hint="default" w:ascii="Arial" w:hAnsi="Arial" w:cs="Arial"/>
                <w:color w:val="000000"/>
                <w:sz w:val="18"/>
                <w:szCs w:val="18"/>
                <w:lang w:val="en-US"/>
              </w:rPr>
            </w:pPr>
            <w:r>
              <w:rPr>
                <w:rFonts w:ascii="Arial" w:hAnsi="Arial" w:cs="Arial"/>
                <w:color w:val="000000"/>
                <w:sz w:val="18"/>
                <w:szCs w:val="18"/>
              </w:rPr>
              <w:t>,</w:t>
            </w:r>
            <w:r>
              <w:rPr>
                <w:rFonts w:hint="default" w:ascii="Arial" w:hAnsi="Arial" w:cs="Arial"/>
                <w:color w:val="000000"/>
                <w:sz w:val="18"/>
                <w:szCs w:val="18"/>
                <w:lang w:val="en-US"/>
              </w:rPr>
              <w:t>200</w:t>
            </w:r>
          </w:p>
        </w:tc>
        <w:tc>
          <w:tcPr>
            <w:tcW w:w="1029" w:type="dxa"/>
            <w:tcBorders>
              <w:top w:val="nil"/>
              <w:bottom w:val="single" w:color="000000" w:sz="16"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,616</w:t>
            </w:r>
          </w:p>
        </w:tc>
        <w:tc>
          <w:tcPr>
            <w:tcW w:w="1029" w:type="dxa"/>
            <w:tcBorders>
              <w:top w:val="nil"/>
              <w:bottom w:val="single" w:color="000000" w:sz="16"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37</w:t>
            </w:r>
          </w:p>
        </w:tc>
        <w:tc>
          <w:tcPr>
            <w:tcW w:w="1029" w:type="dxa"/>
            <w:tcBorders>
              <w:top w:val="nil"/>
              <w:bottom w:val="single" w:color="000000" w:sz="16" w:space="0"/>
              <w:right w:val="single" w:color="000000" w:sz="16" w:space="0"/>
            </w:tcBorders>
            <w:shd w:val="clear" w:color="auto" w:fill="FFFFFF"/>
            <w:vAlign w:val="center"/>
          </w:tcPr>
          <w:p>
            <w:pPr>
              <w:autoSpaceDE w:val="0"/>
              <w:autoSpaceDN w:val="0"/>
              <w:adjustRightInd w:val="0"/>
              <w:spacing w:after="0" w:line="240" w:lineRule="auto"/>
              <w:ind w:left="60" w:right="60"/>
              <w:jc w:val="right"/>
              <w:rPr>
                <w:rFonts w:hint="default" w:ascii="Arial" w:hAnsi="Arial" w:cs="Arial"/>
                <w:color w:val="000000"/>
                <w:sz w:val="18"/>
                <w:szCs w:val="18"/>
                <w:lang w:val="en-US"/>
              </w:rPr>
            </w:pPr>
            <w:r>
              <w:rPr>
                <w:rFonts w:ascii="Arial" w:hAnsi="Arial" w:cs="Arial"/>
                <w:color w:val="000000"/>
                <w:sz w:val="18"/>
                <w:szCs w:val="18"/>
              </w:rPr>
              <w:t>,</w:t>
            </w:r>
            <w:r>
              <w:rPr>
                <w:rFonts w:hint="default" w:ascii="Arial" w:hAnsi="Arial" w:cs="Arial"/>
                <w:color w:val="000000"/>
                <w:sz w:val="18"/>
                <w:szCs w:val="18"/>
                <w:lang w:val="en-US"/>
              </w:rPr>
              <w:t>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142" w:type="dxa"/>
            <w:gridSpan w:val="7"/>
            <w:tcBorders>
              <w:top w:val="nil"/>
              <w:left w:val="nil"/>
              <w:bottom w:val="nil"/>
              <w:right w:val="nil"/>
            </w:tcBorders>
            <w:shd w:val="clear" w:color="auto" w:fill="FFFFFF"/>
          </w:tcPr>
          <w:p>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Lilliefors Significance Correction</w:t>
            </w:r>
          </w:p>
        </w:tc>
      </w:tr>
    </w:tbl>
    <w:p>
      <w:pPr>
        <w:autoSpaceDE w:val="0"/>
        <w:autoSpaceDN w:val="0"/>
        <w:adjustRightInd w:val="0"/>
        <w:spacing w:after="0" w:line="240" w:lineRule="auto"/>
        <w:rPr>
          <w:rFonts w:hint="default" w:ascii="Cambria" w:hAnsi="Cambria" w:cs="Cambria"/>
          <w:sz w:val="24"/>
          <w:szCs w:val="24"/>
        </w:rPr>
      </w:pPr>
    </w:p>
    <w:p>
      <w:pPr>
        <w:pStyle w:val="8"/>
        <w:spacing w:line="240" w:lineRule="auto"/>
        <w:ind w:left="0" w:firstLine="567"/>
        <w:jc w:val="both"/>
        <w:rPr>
          <w:rFonts w:hint="default" w:ascii="Cambria" w:hAnsi="Cambria" w:cs="Cambria"/>
          <w:sz w:val="24"/>
          <w:szCs w:val="24"/>
        </w:rPr>
      </w:pPr>
      <w:r>
        <w:rPr>
          <w:rFonts w:hint="default" w:ascii="Cambria" w:hAnsi="Cambria" w:cs="Cambria"/>
          <w:sz w:val="24"/>
          <w:szCs w:val="24"/>
        </w:rPr>
        <w:t xml:space="preserve">Berdasarkan hasil perhitungan uji normalitas di atas, terlihat pada kolom kolmogorov-smirnov menunjukan bahwa nilai signifikansi hasil belajar mahasiswa </w:t>
      </w:r>
      <w:r>
        <w:rPr>
          <w:rFonts w:hint="default" w:ascii="Cambria" w:hAnsi="Cambria" w:cs="Cambria"/>
          <w:sz w:val="24"/>
          <w:szCs w:val="24"/>
          <w:lang w:val="en-US"/>
        </w:rPr>
        <w:t>kelas c dan kelas f</w:t>
      </w:r>
      <w:r>
        <w:rPr>
          <w:rFonts w:hint="default" w:ascii="Cambria" w:hAnsi="Cambria" w:cs="Cambria"/>
          <w:sz w:val="24"/>
          <w:szCs w:val="24"/>
        </w:rPr>
        <w:t xml:space="preserve"> menunjukan nilai sebesar 0,125 dan 0,200. Nilai signifikansi tersebut &gt; 0,05, maka dapat disimpulkan data berdistribusi normal dan dapat dilakukan uji homogenitas.</w:t>
      </w:r>
    </w:p>
    <w:p>
      <w:pPr>
        <w:spacing w:after="0" w:line="240" w:lineRule="auto"/>
        <w:jc w:val="center"/>
        <w:rPr>
          <w:rFonts w:hint="default" w:ascii="Cambria" w:hAnsi="Cambria" w:cs="Cambria"/>
          <w:sz w:val="24"/>
          <w:szCs w:val="24"/>
        </w:rPr>
      </w:pPr>
      <w:r>
        <w:rPr>
          <w:rFonts w:hint="default" w:ascii="Cambria" w:hAnsi="Cambria" w:cs="Cambria"/>
          <w:sz w:val="24"/>
          <w:szCs w:val="24"/>
        </w:rPr>
        <w:t>Tabel 2</w:t>
      </w:r>
    </w:p>
    <w:p>
      <w:pPr>
        <w:spacing w:after="0" w:line="240" w:lineRule="auto"/>
        <w:jc w:val="center"/>
        <w:rPr>
          <w:rFonts w:hint="default" w:ascii="Cambria" w:hAnsi="Cambria" w:cs="Cambria"/>
          <w:sz w:val="24"/>
          <w:szCs w:val="24"/>
        </w:rPr>
      </w:pPr>
      <w:r>
        <w:rPr>
          <w:rFonts w:hint="default" w:ascii="Cambria" w:hAnsi="Cambria" w:cs="Cambria"/>
          <w:sz w:val="24"/>
          <w:szCs w:val="24"/>
        </w:rPr>
        <w:t>Uji Homogenitas</w:t>
      </w:r>
    </w:p>
    <w:tbl>
      <w:tblPr>
        <w:tblStyle w:val="3"/>
        <w:tblpPr w:leftFromText="180" w:rightFromText="180" w:vertAnchor="text" w:horzAnchor="page" w:tblpX="3462" w:tblpY="354"/>
        <w:tblOverlap w:val="never"/>
        <w:tblW w:w="464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01"/>
        <w:gridCol w:w="1047"/>
        <w:gridCol w:w="1047"/>
        <w:gridCol w:w="10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4641" w:type="dxa"/>
            <w:gridSpan w:val="4"/>
            <w:tcBorders>
              <w:top w:val="nil"/>
              <w:left w:val="nil"/>
              <w:bottom w:val="nil"/>
              <w:right w:val="nil"/>
            </w:tcBorders>
            <w:shd w:val="clear" w:color="auto" w:fill="FFFFFF"/>
            <w:vAlign w:val="center"/>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Test of Homogeneity of Variances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4641" w:type="dxa"/>
            <w:gridSpan w:val="4"/>
            <w:tcBorders>
              <w:top w:val="nil"/>
              <w:left w:val="nil"/>
              <w:bottom w:val="nil"/>
              <w:right w:val="nil"/>
            </w:tcBorders>
            <w:shd w:val="clear" w:color="auto" w:fill="FFFFFF"/>
            <w:vAlign w:val="bottom"/>
          </w:tcPr>
          <w:p>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shd w:val="clear" w:color="auto" w:fill="FFFFFF"/>
              </w:rPr>
              <w:t xml:space="preserve">HB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00" w:type="dxa"/>
            <w:tcBorders>
              <w:top w:val="single" w:color="000000" w:sz="16" w:space="0"/>
              <w:left w:val="single" w:color="000000" w:sz="16" w:space="0"/>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Levene Statistic</w:t>
            </w:r>
          </w:p>
        </w:tc>
        <w:tc>
          <w:tcPr>
            <w:tcW w:w="1047" w:type="dxa"/>
            <w:tcBorders>
              <w:top w:val="single" w:color="000000" w:sz="16" w:space="0"/>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df1</w:t>
            </w:r>
          </w:p>
        </w:tc>
        <w:tc>
          <w:tcPr>
            <w:tcW w:w="1047" w:type="dxa"/>
            <w:tcBorders>
              <w:top w:val="single" w:color="000000" w:sz="16" w:space="0"/>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df2</w:t>
            </w:r>
          </w:p>
        </w:tc>
        <w:tc>
          <w:tcPr>
            <w:tcW w:w="1047" w:type="dxa"/>
            <w:tcBorders>
              <w:top w:val="single" w:color="000000" w:sz="16" w:space="0"/>
              <w:bottom w:val="single" w:color="000000" w:sz="16" w:space="0"/>
              <w:right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500" w:type="dxa"/>
            <w:tcBorders>
              <w:top w:val="single" w:color="000000" w:sz="16" w:space="0"/>
              <w:left w:val="single" w:color="000000" w:sz="16" w:space="0"/>
              <w:bottom w:val="single" w:color="000000" w:sz="16"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1,880</w:t>
            </w:r>
          </w:p>
        </w:tc>
        <w:tc>
          <w:tcPr>
            <w:tcW w:w="1047" w:type="dxa"/>
            <w:tcBorders>
              <w:top w:val="single" w:color="000000" w:sz="16" w:space="0"/>
              <w:bottom w:val="single" w:color="000000" w:sz="16"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w:t>
            </w:r>
          </w:p>
        </w:tc>
        <w:tc>
          <w:tcPr>
            <w:tcW w:w="1047" w:type="dxa"/>
            <w:tcBorders>
              <w:top w:val="single" w:color="000000" w:sz="16" w:space="0"/>
              <w:bottom w:val="single" w:color="000000" w:sz="16"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74</w:t>
            </w:r>
          </w:p>
        </w:tc>
        <w:tc>
          <w:tcPr>
            <w:tcW w:w="1047" w:type="dxa"/>
            <w:tcBorders>
              <w:top w:val="single" w:color="000000" w:sz="16" w:space="0"/>
              <w:bottom w:val="single" w:color="000000" w:sz="16" w:space="0"/>
              <w:right w:val="single" w:color="000000" w:sz="16"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,174</w:t>
            </w:r>
          </w:p>
        </w:tc>
      </w:tr>
    </w:tbl>
    <w:p>
      <w:pPr>
        <w:autoSpaceDE w:val="0"/>
        <w:autoSpaceDN w:val="0"/>
        <w:adjustRightInd w:val="0"/>
        <w:spacing w:after="0" w:line="240" w:lineRule="auto"/>
        <w:jc w:val="both"/>
        <w:rPr>
          <w:rFonts w:hint="default" w:ascii="Cambria" w:hAnsi="Cambria" w:cs="Cambria"/>
          <w:sz w:val="24"/>
          <w:szCs w:val="24"/>
        </w:rPr>
      </w:pPr>
    </w:p>
    <w:p>
      <w:pPr>
        <w:autoSpaceDE w:val="0"/>
        <w:autoSpaceDN w:val="0"/>
        <w:adjustRightInd w:val="0"/>
        <w:spacing w:after="0" w:line="240" w:lineRule="auto"/>
        <w:ind w:firstLine="567"/>
        <w:jc w:val="both"/>
        <w:rPr>
          <w:rFonts w:hint="default" w:ascii="Cambria" w:hAnsi="Cambria" w:cs="Cambria"/>
          <w:sz w:val="24"/>
          <w:szCs w:val="24"/>
        </w:rPr>
      </w:pPr>
    </w:p>
    <w:p>
      <w:pPr>
        <w:autoSpaceDE w:val="0"/>
        <w:autoSpaceDN w:val="0"/>
        <w:adjustRightInd w:val="0"/>
        <w:spacing w:after="0" w:line="240" w:lineRule="auto"/>
        <w:ind w:firstLine="567"/>
        <w:jc w:val="both"/>
        <w:rPr>
          <w:rFonts w:hint="default" w:ascii="Cambria" w:hAnsi="Cambria" w:cs="Cambria"/>
          <w:sz w:val="24"/>
          <w:szCs w:val="24"/>
        </w:rPr>
      </w:pPr>
    </w:p>
    <w:p>
      <w:pPr>
        <w:autoSpaceDE w:val="0"/>
        <w:autoSpaceDN w:val="0"/>
        <w:adjustRightInd w:val="0"/>
        <w:spacing w:after="0" w:line="240" w:lineRule="auto"/>
        <w:ind w:firstLine="567"/>
        <w:jc w:val="both"/>
        <w:rPr>
          <w:rFonts w:hint="default" w:ascii="Cambria" w:hAnsi="Cambria" w:cs="Cambria"/>
          <w:sz w:val="24"/>
          <w:szCs w:val="24"/>
        </w:rPr>
      </w:pPr>
    </w:p>
    <w:p>
      <w:pPr>
        <w:autoSpaceDE w:val="0"/>
        <w:autoSpaceDN w:val="0"/>
        <w:adjustRightInd w:val="0"/>
        <w:spacing w:after="0" w:line="240" w:lineRule="auto"/>
        <w:ind w:firstLine="567"/>
        <w:jc w:val="both"/>
        <w:rPr>
          <w:rFonts w:hint="default" w:ascii="Cambria" w:hAnsi="Cambria" w:cs="Cambria"/>
          <w:sz w:val="24"/>
          <w:szCs w:val="24"/>
        </w:rPr>
      </w:pPr>
    </w:p>
    <w:p>
      <w:pPr>
        <w:autoSpaceDE w:val="0"/>
        <w:autoSpaceDN w:val="0"/>
        <w:adjustRightInd w:val="0"/>
        <w:spacing w:after="0" w:line="240" w:lineRule="auto"/>
        <w:ind w:firstLine="567"/>
        <w:jc w:val="both"/>
        <w:rPr>
          <w:rFonts w:hint="default" w:ascii="Cambria" w:hAnsi="Cambria" w:cs="Cambria"/>
          <w:sz w:val="24"/>
          <w:szCs w:val="24"/>
        </w:rPr>
      </w:pPr>
      <w:r>
        <w:rPr>
          <w:rFonts w:hint="default" w:ascii="Cambria" w:hAnsi="Cambria" w:cs="Cambria"/>
          <w:sz w:val="24"/>
          <w:szCs w:val="24"/>
        </w:rPr>
        <w:t>Berdasarkan hasil analisis uji homogenitas di atas menunjukan bahwa nilai signifikansi sebesar 0,</w:t>
      </w:r>
      <w:r>
        <w:rPr>
          <w:rFonts w:hint="default" w:ascii="Cambria" w:hAnsi="Cambria" w:cs="Cambria"/>
          <w:sz w:val="24"/>
          <w:szCs w:val="24"/>
          <w:lang w:val="en-US"/>
        </w:rPr>
        <w:t>1</w:t>
      </w:r>
      <w:r>
        <w:rPr>
          <w:rFonts w:hint="default" w:ascii="Cambria" w:hAnsi="Cambria" w:cs="Cambria"/>
          <w:sz w:val="24"/>
          <w:szCs w:val="24"/>
        </w:rPr>
        <w:t>7</w:t>
      </w:r>
      <w:r>
        <w:rPr>
          <w:rFonts w:hint="default" w:ascii="Cambria" w:hAnsi="Cambria" w:cs="Cambria"/>
          <w:sz w:val="24"/>
          <w:szCs w:val="24"/>
          <w:lang w:val="en-US"/>
        </w:rPr>
        <w:t>4</w:t>
      </w:r>
      <w:r>
        <w:rPr>
          <w:rFonts w:hint="default" w:ascii="Cambria" w:hAnsi="Cambria" w:cs="Cambria"/>
          <w:sz w:val="24"/>
          <w:szCs w:val="24"/>
        </w:rPr>
        <w:t>. Karena nilai signifikansi 0,</w:t>
      </w:r>
      <w:r>
        <w:rPr>
          <w:rFonts w:hint="default" w:ascii="Cambria" w:hAnsi="Cambria" w:cs="Cambria"/>
          <w:sz w:val="24"/>
          <w:szCs w:val="24"/>
          <w:lang w:val="en-US"/>
        </w:rPr>
        <w:t>174</w:t>
      </w:r>
      <w:r>
        <w:rPr>
          <w:rFonts w:hint="default" w:ascii="Cambria" w:hAnsi="Cambria" w:cs="Cambria"/>
          <w:sz w:val="24"/>
          <w:szCs w:val="24"/>
        </w:rPr>
        <w:t xml:space="preserve"> &gt; 0,05 maka dapat disimpulkan bahwa varian data </w:t>
      </w:r>
      <w:r>
        <w:rPr>
          <w:rFonts w:hint="default" w:ascii="Cambria" w:hAnsi="Cambria" w:cs="Cambria"/>
          <w:sz w:val="24"/>
          <w:szCs w:val="24"/>
          <w:lang w:val="en-US"/>
        </w:rPr>
        <w:t>kelas c dan kelas f</w:t>
      </w:r>
      <w:r>
        <w:rPr>
          <w:rFonts w:hint="default" w:ascii="Cambria" w:hAnsi="Cambria" w:cs="Cambria"/>
          <w:sz w:val="24"/>
          <w:szCs w:val="24"/>
        </w:rPr>
        <w:t xml:space="preserve"> tersebut adalah sama atau homogen dan dapat digunakan untuk uji selanjutnya yaitu uji independent sample t-test.</w:t>
      </w:r>
    </w:p>
    <w:p>
      <w:pPr>
        <w:tabs>
          <w:tab w:val="left" w:pos="3870"/>
        </w:tabs>
        <w:autoSpaceDE w:val="0"/>
        <w:autoSpaceDN w:val="0"/>
        <w:adjustRightInd w:val="0"/>
        <w:spacing w:after="0" w:line="240" w:lineRule="auto"/>
        <w:jc w:val="center"/>
        <w:rPr>
          <w:rFonts w:hint="default" w:ascii="Cambria" w:hAnsi="Cambria" w:cs="Cambria"/>
          <w:sz w:val="24"/>
          <w:szCs w:val="24"/>
        </w:rPr>
      </w:pPr>
    </w:p>
    <w:p>
      <w:pPr>
        <w:tabs>
          <w:tab w:val="left" w:pos="3870"/>
        </w:tabs>
        <w:autoSpaceDE w:val="0"/>
        <w:autoSpaceDN w:val="0"/>
        <w:adjustRightInd w:val="0"/>
        <w:spacing w:after="0" w:line="240" w:lineRule="auto"/>
        <w:jc w:val="center"/>
        <w:rPr>
          <w:rFonts w:hint="default" w:ascii="Cambria" w:hAnsi="Cambria" w:cs="Cambria"/>
          <w:sz w:val="24"/>
          <w:szCs w:val="24"/>
        </w:rPr>
      </w:pPr>
      <w:r>
        <w:rPr>
          <w:rFonts w:hint="default" w:ascii="Cambria" w:hAnsi="Cambria" w:cs="Cambria"/>
          <w:sz w:val="24"/>
          <w:szCs w:val="24"/>
        </w:rPr>
        <w:t>Tabel 3</w:t>
      </w:r>
    </w:p>
    <w:p>
      <w:pPr>
        <w:tabs>
          <w:tab w:val="left" w:pos="3870"/>
        </w:tabs>
        <w:autoSpaceDE w:val="0"/>
        <w:autoSpaceDN w:val="0"/>
        <w:adjustRightInd w:val="0"/>
        <w:spacing w:after="0" w:line="240" w:lineRule="auto"/>
        <w:jc w:val="center"/>
        <w:rPr>
          <w:rFonts w:hint="default" w:ascii="Cambria" w:hAnsi="Cambria" w:cs="Cambria"/>
          <w:sz w:val="24"/>
          <w:szCs w:val="24"/>
        </w:rPr>
      </w:pPr>
      <w:r>
        <w:rPr>
          <w:rFonts w:hint="default" w:ascii="Cambria" w:hAnsi="Cambria" w:cs="Cambria"/>
          <w:sz w:val="24"/>
          <w:szCs w:val="24"/>
        </w:rPr>
        <w:t>Hasil Deskriptif</w:t>
      </w:r>
    </w:p>
    <w:tbl>
      <w:tblPr>
        <w:tblStyle w:val="3"/>
        <w:tblW w:w="952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10"/>
        <w:gridCol w:w="1033"/>
        <w:gridCol w:w="1079"/>
        <w:gridCol w:w="1110"/>
        <w:gridCol w:w="1033"/>
        <w:gridCol w:w="1033"/>
        <w:gridCol w:w="1079"/>
        <w:gridCol w:w="14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9519" w:type="dxa"/>
            <w:gridSpan w:val="8"/>
            <w:tcBorders>
              <w:top w:val="nil"/>
              <w:left w:val="nil"/>
              <w:bottom w:val="nil"/>
              <w:right w:val="nil"/>
            </w:tcBorders>
            <w:shd w:val="clear" w:color="auto" w:fill="FFFFFF"/>
            <w:vAlign w:val="center"/>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Descriptive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710" w:type="dxa"/>
            <w:vMerge w:val="restart"/>
            <w:tcBorders>
              <w:top w:val="single" w:color="000000" w:sz="16" w:space="0"/>
              <w:left w:val="single" w:color="000000" w:sz="16" w:space="0"/>
              <w:bottom w:val="nil"/>
              <w:right w:val="single" w:color="000000" w:sz="16" w:space="0"/>
            </w:tcBorders>
            <w:shd w:val="clear" w:color="auto" w:fill="FFFFFF"/>
            <w:vAlign w:val="bottom"/>
          </w:tcPr>
          <w:p>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color="000000" w:sz="16" w:space="0"/>
              <w:left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N</w:t>
            </w:r>
          </w:p>
        </w:tc>
        <w:tc>
          <w:tcPr>
            <w:tcW w:w="1078" w:type="dxa"/>
            <w:tcBorders>
              <w:top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Minimum</w:t>
            </w:r>
          </w:p>
        </w:tc>
        <w:tc>
          <w:tcPr>
            <w:tcW w:w="1109" w:type="dxa"/>
            <w:tcBorders>
              <w:top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Maximum</w:t>
            </w:r>
          </w:p>
        </w:tc>
        <w:tc>
          <w:tcPr>
            <w:tcW w:w="1032" w:type="dxa"/>
            <w:tcBorders>
              <w:top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Sum</w:t>
            </w:r>
          </w:p>
        </w:tc>
        <w:tc>
          <w:tcPr>
            <w:tcW w:w="2110" w:type="dxa"/>
            <w:gridSpan w:val="2"/>
            <w:tcBorders>
              <w:top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Mean</w:t>
            </w:r>
          </w:p>
        </w:tc>
        <w:tc>
          <w:tcPr>
            <w:tcW w:w="1448" w:type="dxa"/>
            <w:tcBorders>
              <w:top w:val="single" w:color="000000" w:sz="16" w:space="0"/>
              <w:right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Deviation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710" w:type="dxa"/>
            <w:vMerge w:val="continue"/>
            <w:tcBorders>
              <w:top w:val="single" w:color="000000" w:sz="16" w:space="0"/>
              <w:left w:val="single" w:color="000000" w:sz="16" w:space="0"/>
              <w:bottom w:val="nil"/>
              <w:right w:val="single" w:color="000000" w:sz="16" w:space="0"/>
            </w:tcBorders>
            <w:shd w:val="clear" w:color="auto" w:fill="FFFFFF"/>
            <w:vAlign w:val="bottom"/>
          </w:tcPr>
          <w:p>
            <w:pPr>
              <w:autoSpaceDE w:val="0"/>
              <w:autoSpaceDN w:val="0"/>
              <w:adjustRightInd w:val="0"/>
              <w:spacing w:after="0" w:line="240" w:lineRule="auto"/>
              <w:rPr>
                <w:rFonts w:ascii="Arial" w:hAnsi="Arial" w:cs="Arial"/>
                <w:color w:val="000000"/>
                <w:sz w:val="18"/>
                <w:szCs w:val="18"/>
              </w:rPr>
            </w:pPr>
          </w:p>
        </w:tc>
        <w:tc>
          <w:tcPr>
            <w:tcW w:w="1032" w:type="dxa"/>
            <w:tcBorders>
              <w:left w:val="single" w:color="000000" w:sz="16" w:space="0"/>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Statistic</w:t>
            </w:r>
          </w:p>
        </w:tc>
        <w:tc>
          <w:tcPr>
            <w:tcW w:w="1078" w:type="dxa"/>
            <w:tcBorders>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Statistic</w:t>
            </w:r>
          </w:p>
        </w:tc>
        <w:tc>
          <w:tcPr>
            <w:tcW w:w="1109" w:type="dxa"/>
            <w:tcBorders>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Statistic</w:t>
            </w:r>
          </w:p>
        </w:tc>
        <w:tc>
          <w:tcPr>
            <w:tcW w:w="1032" w:type="dxa"/>
            <w:tcBorders>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Statistic</w:t>
            </w:r>
          </w:p>
        </w:tc>
        <w:tc>
          <w:tcPr>
            <w:tcW w:w="1032" w:type="dxa"/>
            <w:tcBorders>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Statistic</w:t>
            </w:r>
          </w:p>
        </w:tc>
        <w:tc>
          <w:tcPr>
            <w:tcW w:w="1078" w:type="dxa"/>
            <w:tcBorders>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Error</w:t>
            </w:r>
          </w:p>
        </w:tc>
        <w:tc>
          <w:tcPr>
            <w:tcW w:w="1448" w:type="dxa"/>
            <w:tcBorders>
              <w:bottom w:val="single" w:color="000000" w:sz="16" w:space="0"/>
              <w:right w:val="single" w:color="000000" w:sz="16" w:space="0"/>
            </w:tcBorders>
            <w:shd w:val="clear" w:color="auto" w:fill="FFFFFF"/>
            <w:vAlign w:val="bottom"/>
          </w:tcPr>
          <w:p>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Statistic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710" w:type="dxa"/>
            <w:tcBorders>
              <w:top w:val="single" w:color="000000" w:sz="16" w:space="0"/>
              <w:left w:val="single" w:color="000000" w:sz="16" w:space="0"/>
              <w:bottom w:val="nil"/>
              <w:right w:val="single" w:color="000000" w:sz="16" w:space="0"/>
            </w:tcBorders>
            <w:shd w:val="clear" w:color="auto" w:fill="FFFFFF"/>
          </w:tcPr>
          <w:p>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Kelas C</w:t>
            </w:r>
          </w:p>
        </w:tc>
        <w:tc>
          <w:tcPr>
            <w:tcW w:w="1032" w:type="dxa"/>
            <w:tcBorders>
              <w:top w:val="single" w:color="000000" w:sz="16" w:space="0"/>
              <w:left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39</w:t>
            </w:r>
          </w:p>
        </w:tc>
        <w:tc>
          <w:tcPr>
            <w:tcW w:w="1078"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34</w:t>
            </w:r>
          </w:p>
        </w:tc>
        <w:tc>
          <w:tcPr>
            <w:tcW w:w="1109"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97</w:t>
            </w:r>
          </w:p>
        </w:tc>
        <w:tc>
          <w:tcPr>
            <w:tcW w:w="1032"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3347</w:t>
            </w:r>
          </w:p>
        </w:tc>
        <w:tc>
          <w:tcPr>
            <w:tcW w:w="1032"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85,82</w:t>
            </w:r>
          </w:p>
        </w:tc>
        <w:tc>
          <w:tcPr>
            <w:tcW w:w="1078"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2,120</w:t>
            </w:r>
          </w:p>
        </w:tc>
        <w:tc>
          <w:tcPr>
            <w:tcW w:w="1448" w:type="dxa"/>
            <w:tcBorders>
              <w:top w:val="single" w:color="000000" w:sz="16" w:space="0"/>
              <w:bottom w:val="nil"/>
              <w:right w:val="single" w:color="000000" w:sz="16"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13,236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710" w:type="dxa"/>
            <w:tcBorders>
              <w:top w:val="nil"/>
              <w:left w:val="single" w:color="000000" w:sz="16" w:space="0"/>
              <w:bottom w:val="nil"/>
              <w:right w:val="single" w:color="000000" w:sz="16" w:space="0"/>
            </w:tcBorders>
            <w:shd w:val="clear" w:color="auto" w:fill="FFFFFF"/>
          </w:tcPr>
          <w:p>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Kelas F</w:t>
            </w:r>
          </w:p>
        </w:tc>
        <w:tc>
          <w:tcPr>
            <w:tcW w:w="1032" w:type="dxa"/>
            <w:tcBorders>
              <w:top w:val="nil"/>
              <w:left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37</w:t>
            </w:r>
          </w:p>
        </w:tc>
        <w:tc>
          <w:tcPr>
            <w:tcW w:w="1078" w:type="dxa"/>
            <w:tcBorders>
              <w:top w:val="nil"/>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34</w:t>
            </w:r>
          </w:p>
        </w:tc>
        <w:tc>
          <w:tcPr>
            <w:tcW w:w="1109" w:type="dxa"/>
            <w:tcBorders>
              <w:top w:val="nil"/>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83</w:t>
            </w:r>
          </w:p>
        </w:tc>
        <w:tc>
          <w:tcPr>
            <w:tcW w:w="1032" w:type="dxa"/>
            <w:tcBorders>
              <w:top w:val="nil"/>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2786</w:t>
            </w:r>
          </w:p>
        </w:tc>
        <w:tc>
          <w:tcPr>
            <w:tcW w:w="1032" w:type="dxa"/>
            <w:tcBorders>
              <w:top w:val="nil"/>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75,30</w:t>
            </w:r>
          </w:p>
        </w:tc>
        <w:tc>
          <w:tcPr>
            <w:tcW w:w="1078" w:type="dxa"/>
            <w:tcBorders>
              <w:top w:val="nil"/>
              <w:bottom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1,403</w:t>
            </w:r>
          </w:p>
        </w:tc>
        <w:tc>
          <w:tcPr>
            <w:tcW w:w="1448" w:type="dxa"/>
            <w:tcBorders>
              <w:top w:val="nil"/>
              <w:bottom w:val="nil"/>
              <w:right w:val="single" w:color="000000" w:sz="16"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8,537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710" w:type="dxa"/>
            <w:tcBorders>
              <w:top w:val="nil"/>
              <w:left w:val="single" w:color="000000" w:sz="16" w:space="0"/>
              <w:bottom w:val="single" w:color="000000" w:sz="16" w:space="0"/>
              <w:right w:val="single" w:color="000000" w:sz="16" w:space="0"/>
            </w:tcBorders>
            <w:shd w:val="clear" w:color="auto" w:fill="FFFFFF"/>
          </w:tcPr>
          <w:p>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Valid N (listwise)</w:t>
            </w:r>
          </w:p>
        </w:tc>
        <w:tc>
          <w:tcPr>
            <w:tcW w:w="1032" w:type="dxa"/>
            <w:tcBorders>
              <w:top w:val="nil"/>
              <w:left w:val="single" w:color="000000" w:sz="16" w:space="0"/>
              <w:bottom w:val="single" w:color="000000" w:sz="16" w:space="0"/>
            </w:tcBorders>
            <w:shd w:val="clear" w:color="auto" w:fill="FFFFFF"/>
            <w:vAlign w:val="center"/>
          </w:tcPr>
          <w:p>
            <w:pPr>
              <w:autoSpaceDE w:val="0"/>
              <w:autoSpaceDN w:val="0"/>
              <w:adjustRightInd w:val="0"/>
              <w:spacing w:after="0" w:line="240" w:lineRule="auto"/>
              <w:ind w:left="60" w:right="60"/>
              <w:jc w:val="right"/>
              <w:rPr>
                <w:rFonts w:hint="default" w:ascii="Arial" w:hAnsi="Arial" w:cs="Arial"/>
                <w:color w:val="000000"/>
                <w:sz w:val="18"/>
                <w:szCs w:val="18"/>
                <w:lang w:val="en-US"/>
              </w:rPr>
            </w:pPr>
            <w:r>
              <w:rPr>
                <w:rFonts w:ascii="Arial" w:hAnsi="Arial" w:cs="Arial"/>
                <w:color w:val="000000"/>
                <w:sz w:val="18"/>
                <w:szCs w:val="18"/>
              </w:rPr>
              <w:t>3</w:t>
            </w:r>
            <w:r>
              <w:rPr>
                <w:rFonts w:hint="default" w:ascii="Arial" w:hAnsi="Arial" w:cs="Arial"/>
                <w:color w:val="000000"/>
                <w:sz w:val="18"/>
                <w:szCs w:val="18"/>
                <w:lang w:val="en-US"/>
              </w:rPr>
              <w:t>9</w:t>
            </w:r>
          </w:p>
        </w:tc>
        <w:tc>
          <w:tcPr>
            <w:tcW w:w="1078"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cs="Times New Roman"/>
                <w:sz w:val="24"/>
                <w:szCs w:val="24"/>
              </w:rPr>
            </w:pPr>
          </w:p>
        </w:tc>
        <w:tc>
          <w:tcPr>
            <w:tcW w:w="1109"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cs="Times New Roman"/>
                <w:sz w:val="24"/>
                <w:szCs w:val="24"/>
              </w:rPr>
            </w:pPr>
          </w:p>
        </w:tc>
        <w:tc>
          <w:tcPr>
            <w:tcW w:w="1032"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cs="Times New Roman"/>
                <w:sz w:val="24"/>
                <w:szCs w:val="24"/>
              </w:rPr>
            </w:pPr>
          </w:p>
        </w:tc>
        <w:tc>
          <w:tcPr>
            <w:tcW w:w="1032"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cs="Times New Roman"/>
                <w:sz w:val="24"/>
                <w:szCs w:val="24"/>
              </w:rPr>
            </w:pPr>
          </w:p>
        </w:tc>
        <w:tc>
          <w:tcPr>
            <w:tcW w:w="1078" w:type="dxa"/>
            <w:tcBorders>
              <w:top w:val="nil"/>
              <w:bottom w:val="single" w:color="000000" w:sz="16" w:space="0"/>
            </w:tcBorders>
            <w:shd w:val="clear" w:color="auto" w:fill="FFFFFF"/>
            <w:vAlign w:val="center"/>
          </w:tcPr>
          <w:p>
            <w:pPr>
              <w:autoSpaceDE w:val="0"/>
              <w:autoSpaceDN w:val="0"/>
              <w:adjustRightInd w:val="0"/>
              <w:spacing w:after="0" w:line="240" w:lineRule="auto"/>
              <w:rPr>
                <w:rFonts w:ascii="Times New Roman" w:hAnsi="Times New Roman" w:cs="Times New Roman"/>
                <w:sz w:val="24"/>
                <w:szCs w:val="24"/>
              </w:rPr>
            </w:pPr>
          </w:p>
        </w:tc>
        <w:tc>
          <w:tcPr>
            <w:tcW w:w="1448" w:type="dxa"/>
            <w:tcBorders>
              <w:top w:val="nil"/>
              <w:bottom w:val="single" w:color="000000" w:sz="16" w:space="0"/>
              <w:right w:val="single" w:color="000000" w:sz="16" w:space="0"/>
            </w:tcBorders>
            <w:shd w:val="clear" w:color="auto" w:fill="FFFFFF"/>
            <w:vAlign w:val="center"/>
          </w:tcPr>
          <w:p>
            <w:pPr>
              <w:autoSpaceDE w:val="0"/>
              <w:autoSpaceDN w:val="0"/>
              <w:adjustRightInd w:val="0"/>
              <w:spacing w:after="0" w:line="240" w:lineRule="auto"/>
              <w:rPr>
                <w:rFonts w:ascii="Times New Roman" w:hAnsi="Times New Roman" w:cs="Times New Roman"/>
                <w:sz w:val="24"/>
                <w:szCs w:val="24"/>
              </w:rPr>
            </w:pPr>
          </w:p>
        </w:tc>
      </w:tr>
    </w:tbl>
    <w:p>
      <w:pPr>
        <w:autoSpaceDE w:val="0"/>
        <w:autoSpaceDN w:val="0"/>
        <w:adjustRightInd w:val="0"/>
        <w:spacing w:after="0" w:line="240" w:lineRule="auto"/>
        <w:ind w:firstLine="567"/>
        <w:jc w:val="both"/>
        <w:rPr>
          <w:rFonts w:hint="default" w:ascii="Cambria" w:hAnsi="Cambria" w:cs="Cambria"/>
          <w:sz w:val="24"/>
          <w:szCs w:val="24"/>
        </w:rPr>
      </w:pPr>
    </w:p>
    <w:p>
      <w:pPr>
        <w:autoSpaceDE w:val="0"/>
        <w:autoSpaceDN w:val="0"/>
        <w:adjustRightInd w:val="0"/>
        <w:spacing w:after="0" w:line="240" w:lineRule="auto"/>
        <w:ind w:firstLine="567"/>
        <w:jc w:val="both"/>
        <w:rPr>
          <w:rFonts w:hint="default" w:ascii="Cambria" w:hAnsi="Cambria" w:cs="Cambria"/>
          <w:sz w:val="24"/>
          <w:szCs w:val="24"/>
        </w:rPr>
      </w:pPr>
      <w:r>
        <w:rPr>
          <w:rFonts w:hint="default" w:ascii="Cambria" w:hAnsi="Cambria" w:cs="Cambria"/>
          <w:sz w:val="24"/>
          <w:szCs w:val="24"/>
        </w:rPr>
        <w:t xml:space="preserve">Berdasarkan hasil analisis deskriptif di atas menunjukan bahwa jumlah data </w:t>
      </w:r>
      <w:r>
        <w:rPr>
          <w:rFonts w:hint="default" w:ascii="Cambria" w:hAnsi="Cambria" w:cs="Cambria"/>
          <w:sz w:val="24"/>
          <w:szCs w:val="24"/>
          <w:lang w:val="en-US"/>
        </w:rPr>
        <w:t>kelas c</w:t>
      </w:r>
      <w:r>
        <w:rPr>
          <w:rFonts w:hint="default" w:ascii="Cambria" w:hAnsi="Cambria" w:cs="Cambria"/>
          <w:sz w:val="24"/>
          <w:szCs w:val="24"/>
        </w:rPr>
        <w:t xml:space="preserve"> sebanyak </w:t>
      </w:r>
      <w:r>
        <w:rPr>
          <w:rFonts w:hint="default" w:ascii="Cambria" w:hAnsi="Cambria" w:cs="Cambria"/>
          <w:sz w:val="24"/>
          <w:szCs w:val="24"/>
          <w:lang w:val="en-US"/>
        </w:rPr>
        <w:t>39</w:t>
      </w:r>
      <w:r>
        <w:rPr>
          <w:rFonts w:hint="default" w:ascii="Cambria" w:hAnsi="Cambria" w:cs="Cambria"/>
          <w:sz w:val="24"/>
          <w:szCs w:val="24"/>
        </w:rPr>
        <w:t xml:space="preserve"> dan jumlah data </w:t>
      </w:r>
      <w:r>
        <w:rPr>
          <w:rFonts w:hint="default" w:ascii="Cambria" w:hAnsi="Cambria" w:cs="Cambria"/>
          <w:sz w:val="24"/>
          <w:szCs w:val="24"/>
          <w:lang w:val="en-US"/>
        </w:rPr>
        <w:t>kelas f</w:t>
      </w:r>
      <w:r>
        <w:rPr>
          <w:rFonts w:hint="default" w:ascii="Cambria" w:hAnsi="Cambria" w:cs="Cambria"/>
          <w:sz w:val="24"/>
          <w:szCs w:val="24"/>
        </w:rPr>
        <w:t xml:space="preserve"> sebanyak </w:t>
      </w:r>
      <w:r>
        <w:rPr>
          <w:rFonts w:hint="default" w:ascii="Cambria" w:hAnsi="Cambria" w:cs="Cambria"/>
          <w:sz w:val="24"/>
          <w:szCs w:val="24"/>
          <w:lang w:val="en-US"/>
        </w:rPr>
        <w:t>37</w:t>
      </w:r>
      <w:r>
        <w:rPr>
          <w:rFonts w:hint="default" w:ascii="Cambria" w:hAnsi="Cambria" w:cs="Cambria"/>
          <w:sz w:val="24"/>
          <w:szCs w:val="24"/>
        </w:rPr>
        <w:t xml:space="preserve">, adapun rata-rata hasil belajar statistik </w:t>
      </w:r>
      <w:r>
        <w:rPr>
          <w:rFonts w:hint="default" w:ascii="Cambria" w:hAnsi="Cambria" w:cs="Cambria"/>
          <w:sz w:val="24"/>
          <w:szCs w:val="24"/>
          <w:lang w:val="en-US"/>
        </w:rPr>
        <w:t>kelas c</w:t>
      </w:r>
      <w:r>
        <w:rPr>
          <w:rFonts w:hint="default" w:ascii="Cambria" w:hAnsi="Cambria" w:cs="Cambria"/>
          <w:sz w:val="24"/>
          <w:szCs w:val="24"/>
        </w:rPr>
        <w:t xml:space="preserve"> sebesar </w:t>
      </w:r>
      <w:r>
        <w:rPr>
          <w:rFonts w:hint="default" w:ascii="Cambria" w:hAnsi="Cambria" w:cs="Cambria"/>
          <w:sz w:val="24"/>
          <w:szCs w:val="24"/>
          <w:lang w:val="en-US"/>
        </w:rPr>
        <w:t>85</w:t>
      </w:r>
      <w:r>
        <w:rPr>
          <w:rFonts w:hint="default" w:ascii="Cambria" w:hAnsi="Cambria" w:cs="Cambria"/>
          <w:sz w:val="24"/>
          <w:szCs w:val="24"/>
        </w:rPr>
        <w:t>,</w:t>
      </w:r>
      <w:r>
        <w:rPr>
          <w:rFonts w:hint="default" w:ascii="Cambria" w:hAnsi="Cambria" w:cs="Cambria"/>
          <w:sz w:val="24"/>
          <w:szCs w:val="24"/>
          <w:lang w:val="en-US"/>
        </w:rPr>
        <w:t>82</w:t>
      </w:r>
      <w:r>
        <w:rPr>
          <w:rFonts w:hint="default" w:ascii="Cambria" w:hAnsi="Cambria" w:cs="Cambria"/>
          <w:sz w:val="24"/>
          <w:szCs w:val="24"/>
        </w:rPr>
        <w:t xml:space="preserve"> dan hasil belajar stasitik </w:t>
      </w:r>
      <w:r>
        <w:rPr>
          <w:rFonts w:hint="default" w:ascii="Cambria" w:hAnsi="Cambria" w:cs="Cambria"/>
          <w:sz w:val="24"/>
          <w:szCs w:val="24"/>
          <w:lang w:val="en-US"/>
        </w:rPr>
        <w:t>kelas f</w:t>
      </w:r>
      <w:r>
        <w:rPr>
          <w:rFonts w:hint="default" w:ascii="Cambria" w:hAnsi="Cambria" w:cs="Cambria"/>
          <w:sz w:val="24"/>
          <w:szCs w:val="24"/>
        </w:rPr>
        <w:t xml:space="preserve"> sebesart 7</w:t>
      </w:r>
      <w:r>
        <w:rPr>
          <w:rFonts w:hint="default" w:ascii="Cambria" w:hAnsi="Cambria" w:cs="Cambria"/>
          <w:sz w:val="24"/>
          <w:szCs w:val="24"/>
          <w:lang w:val="en-US"/>
        </w:rPr>
        <w:t>5</w:t>
      </w:r>
      <w:r>
        <w:rPr>
          <w:rFonts w:hint="default" w:ascii="Cambria" w:hAnsi="Cambria" w:cs="Cambria"/>
          <w:sz w:val="24"/>
          <w:szCs w:val="24"/>
        </w:rPr>
        <w:t>,3</w:t>
      </w:r>
      <w:r>
        <w:rPr>
          <w:rFonts w:hint="default" w:ascii="Cambria" w:hAnsi="Cambria" w:cs="Cambria"/>
          <w:sz w:val="24"/>
          <w:szCs w:val="24"/>
          <w:lang w:val="en-US"/>
        </w:rPr>
        <w:t>0</w:t>
      </w:r>
      <w:r>
        <w:rPr>
          <w:rFonts w:hint="default" w:ascii="Cambria" w:hAnsi="Cambria" w:cs="Cambria"/>
          <w:sz w:val="24"/>
          <w:szCs w:val="24"/>
        </w:rPr>
        <w:t xml:space="preserve">. Dapat disimpulkan dari hasil belajar statistik mahasiswa skor rata-rata yang di dapat mahasiswa </w:t>
      </w:r>
      <w:r>
        <w:rPr>
          <w:rFonts w:hint="default" w:ascii="Cambria" w:hAnsi="Cambria" w:cs="Cambria"/>
          <w:sz w:val="24"/>
          <w:szCs w:val="24"/>
          <w:lang w:val="en-US"/>
        </w:rPr>
        <w:t>kelas c</w:t>
      </w:r>
      <w:r>
        <w:rPr>
          <w:rFonts w:hint="default" w:ascii="Cambria" w:hAnsi="Cambria" w:cs="Cambria"/>
          <w:sz w:val="24"/>
          <w:szCs w:val="24"/>
        </w:rPr>
        <w:t xml:space="preserve"> lebih tinggi dari pada skor yang di dapat oleh mahasiswa </w:t>
      </w:r>
      <w:r>
        <w:rPr>
          <w:rFonts w:hint="default" w:ascii="Cambria" w:hAnsi="Cambria" w:cs="Cambria"/>
          <w:sz w:val="24"/>
          <w:szCs w:val="24"/>
          <w:lang w:val="en-US"/>
        </w:rPr>
        <w:t>kelas f</w:t>
      </w:r>
      <w:r>
        <w:rPr>
          <w:rFonts w:hint="default" w:ascii="Cambria" w:hAnsi="Cambria" w:cs="Cambria"/>
          <w:sz w:val="24"/>
          <w:szCs w:val="24"/>
        </w:rPr>
        <w:t>.</w:t>
      </w: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p>
    <w:p>
      <w:pPr>
        <w:autoSpaceDE w:val="0"/>
        <w:autoSpaceDN w:val="0"/>
        <w:adjustRightInd w:val="0"/>
        <w:spacing w:after="0" w:line="240" w:lineRule="auto"/>
        <w:jc w:val="center"/>
        <w:rPr>
          <w:rFonts w:hint="default" w:ascii="Cambria" w:hAnsi="Cambria" w:cs="Cambria"/>
          <w:sz w:val="24"/>
          <w:szCs w:val="24"/>
        </w:rPr>
      </w:pPr>
      <w:r>
        <w:rPr>
          <w:rFonts w:hint="default" w:ascii="Cambria" w:hAnsi="Cambria" w:cs="Cambria"/>
          <w:sz w:val="24"/>
          <w:szCs w:val="24"/>
        </w:rPr>
        <w:t>Tabel 4</w:t>
      </w:r>
    </w:p>
    <w:p>
      <w:pPr>
        <w:autoSpaceDE w:val="0"/>
        <w:autoSpaceDN w:val="0"/>
        <w:adjustRightInd w:val="0"/>
        <w:spacing w:after="0" w:line="240" w:lineRule="auto"/>
        <w:jc w:val="center"/>
        <w:rPr>
          <w:rFonts w:hint="default" w:ascii="Cambria" w:hAnsi="Cambria" w:cs="Cambria"/>
          <w:sz w:val="24"/>
          <w:szCs w:val="24"/>
        </w:rPr>
      </w:pPr>
      <w:r>
        <w:rPr>
          <w:rFonts w:hint="default" w:ascii="Cambria" w:hAnsi="Cambria" w:cs="Cambria"/>
          <w:sz w:val="24"/>
          <w:szCs w:val="24"/>
        </w:rPr>
        <w:t>Uji Independent Sampel t-test</w:t>
      </w:r>
    </w:p>
    <w:tbl>
      <w:tblPr>
        <w:tblStyle w:val="3"/>
        <w:tblW w:w="1091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71"/>
        <w:gridCol w:w="1691"/>
        <w:gridCol w:w="829"/>
        <w:gridCol w:w="698"/>
        <w:gridCol w:w="786"/>
        <w:gridCol w:w="916"/>
        <w:gridCol w:w="829"/>
        <w:gridCol w:w="862"/>
        <w:gridCol w:w="862"/>
        <w:gridCol w:w="927"/>
        <w:gridCol w:w="104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0915" w:type="dxa"/>
            <w:gridSpan w:val="11"/>
            <w:tcBorders>
              <w:top w:val="nil"/>
              <w:left w:val="nil"/>
              <w:bottom w:val="nil"/>
              <w:right w:val="nil"/>
            </w:tcBorders>
            <w:shd w:val="clear" w:color="auto" w:fill="FFFFFF"/>
            <w:vAlign w:val="center"/>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b/>
                <w:bCs/>
                <w:color w:val="000000"/>
                <w:sz w:val="24"/>
                <w:szCs w:val="24"/>
              </w:rPr>
              <w:t>Independent Samples Test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162" w:type="dxa"/>
            <w:gridSpan w:val="2"/>
            <w:vMerge w:val="restart"/>
            <w:tcBorders>
              <w:top w:val="single" w:color="000000" w:sz="16" w:space="0"/>
              <w:left w:val="single" w:color="000000" w:sz="16" w:space="0"/>
              <w:bottom w:val="nil"/>
              <w:right w:val="nil"/>
            </w:tcBorders>
            <w:shd w:val="clear" w:color="auto" w:fill="FFFFFF"/>
            <w:vAlign w:val="bottom"/>
          </w:tcPr>
          <w:p>
            <w:pPr>
              <w:autoSpaceDE w:val="0"/>
              <w:autoSpaceDN w:val="0"/>
              <w:adjustRightInd w:val="0"/>
              <w:spacing w:after="0" w:line="240" w:lineRule="auto"/>
              <w:rPr>
                <w:rFonts w:hint="default" w:ascii="Cambria" w:hAnsi="Cambria" w:cs="Cambria"/>
                <w:sz w:val="24"/>
                <w:szCs w:val="24"/>
              </w:rPr>
            </w:pPr>
          </w:p>
        </w:tc>
        <w:tc>
          <w:tcPr>
            <w:tcW w:w="1527" w:type="dxa"/>
            <w:gridSpan w:val="2"/>
            <w:tcBorders>
              <w:top w:val="single" w:color="000000" w:sz="16" w:space="0"/>
              <w:left w:val="single" w:color="000000" w:sz="16" w:space="0"/>
            </w:tcBorders>
            <w:shd w:val="clear" w:color="auto" w:fill="FFFFFF"/>
            <w:vAlign w:val="bottom"/>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color w:val="000000"/>
                <w:sz w:val="24"/>
                <w:szCs w:val="24"/>
              </w:rPr>
              <w:t>Levene's Test for Equality of Variances</w:t>
            </w:r>
          </w:p>
        </w:tc>
        <w:tc>
          <w:tcPr>
            <w:tcW w:w="6226" w:type="dxa"/>
            <w:gridSpan w:val="7"/>
            <w:tcBorders>
              <w:top w:val="single" w:color="000000" w:sz="16" w:space="0"/>
              <w:right w:val="single" w:color="000000" w:sz="16" w:space="0"/>
            </w:tcBorders>
            <w:shd w:val="clear" w:color="auto" w:fill="FFFFFF"/>
            <w:vAlign w:val="bottom"/>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color w:val="000000"/>
                <w:sz w:val="24"/>
                <w:szCs w:val="24"/>
              </w:rPr>
              <w:t>t-test for Equality of Means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162" w:type="dxa"/>
            <w:gridSpan w:val="2"/>
            <w:vMerge w:val="continue"/>
            <w:tcBorders>
              <w:top w:val="single" w:color="000000" w:sz="16" w:space="0"/>
              <w:left w:val="single" w:color="000000" w:sz="16" w:space="0"/>
              <w:bottom w:val="nil"/>
              <w:right w:val="nil"/>
            </w:tcBorders>
            <w:shd w:val="clear" w:color="auto" w:fill="FFFFFF"/>
            <w:vAlign w:val="bottom"/>
          </w:tcPr>
          <w:p>
            <w:pPr>
              <w:autoSpaceDE w:val="0"/>
              <w:autoSpaceDN w:val="0"/>
              <w:adjustRightInd w:val="0"/>
              <w:spacing w:after="0" w:line="240" w:lineRule="auto"/>
              <w:rPr>
                <w:rFonts w:hint="default" w:ascii="Cambria" w:hAnsi="Cambria" w:cs="Cambria"/>
                <w:color w:val="000000"/>
                <w:sz w:val="24"/>
                <w:szCs w:val="24"/>
              </w:rPr>
            </w:pPr>
          </w:p>
        </w:tc>
        <w:tc>
          <w:tcPr>
            <w:tcW w:w="829" w:type="dxa"/>
            <w:vMerge w:val="restart"/>
            <w:tcBorders>
              <w:left w:val="single" w:color="000000" w:sz="16" w:space="0"/>
            </w:tcBorders>
            <w:shd w:val="clear" w:color="auto" w:fill="FFFFFF"/>
            <w:vAlign w:val="bottom"/>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color w:val="000000"/>
                <w:sz w:val="24"/>
                <w:szCs w:val="24"/>
              </w:rPr>
              <w:t>F</w:t>
            </w:r>
          </w:p>
        </w:tc>
        <w:tc>
          <w:tcPr>
            <w:tcW w:w="698" w:type="dxa"/>
            <w:vMerge w:val="restart"/>
            <w:shd w:val="clear" w:color="auto" w:fill="FFFFFF"/>
            <w:vAlign w:val="bottom"/>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color w:val="000000"/>
                <w:sz w:val="24"/>
                <w:szCs w:val="24"/>
              </w:rPr>
              <w:t>Sig.</w:t>
            </w:r>
          </w:p>
        </w:tc>
        <w:tc>
          <w:tcPr>
            <w:tcW w:w="786" w:type="dxa"/>
            <w:vMerge w:val="restart"/>
            <w:shd w:val="clear" w:color="auto" w:fill="FFFFFF"/>
            <w:vAlign w:val="bottom"/>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color w:val="000000"/>
                <w:sz w:val="24"/>
                <w:szCs w:val="24"/>
              </w:rPr>
              <w:t>t</w:t>
            </w:r>
          </w:p>
        </w:tc>
        <w:tc>
          <w:tcPr>
            <w:tcW w:w="916" w:type="dxa"/>
            <w:vMerge w:val="restart"/>
            <w:shd w:val="clear" w:color="auto" w:fill="FFFFFF"/>
            <w:vAlign w:val="bottom"/>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color w:val="000000"/>
                <w:sz w:val="24"/>
                <w:szCs w:val="24"/>
              </w:rPr>
              <w:t>df</w:t>
            </w:r>
          </w:p>
        </w:tc>
        <w:tc>
          <w:tcPr>
            <w:tcW w:w="829" w:type="dxa"/>
            <w:vMerge w:val="restart"/>
            <w:shd w:val="clear" w:color="auto" w:fill="FFFFFF"/>
            <w:vAlign w:val="bottom"/>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color w:val="000000"/>
                <w:sz w:val="24"/>
                <w:szCs w:val="24"/>
              </w:rPr>
              <w:t>Sig. (2-tailed)</w:t>
            </w:r>
          </w:p>
        </w:tc>
        <w:tc>
          <w:tcPr>
            <w:tcW w:w="862" w:type="dxa"/>
            <w:vMerge w:val="restart"/>
            <w:shd w:val="clear" w:color="auto" w:fill="FFFFFF"/>
            <w:vAlign w:val="bottom"/>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color w:val="000000"/>
                <w:sz w:val="24"/>
                <w:szCs w:val="24"/>
              </w:rPr>
              <w:t>Mean Difference</w:t>
            </w:r>
          </w:p>
        </w:tc>
        <w:tc>
          <w:tcPr>
            <w:tcW w:w="862" w:type="dxa"/>
            <w:vMerge w:val="restart"/>
            <w:shd w:val="clear" w:color="auto" w:fill="FFFFFF"/>
            <w:vAlign w:val="bottom"/>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color w:val="000000"/>
                <w:sz w:val="24"/>
                <w:szCs w:val="24"/>
              </w:rPr>
              <w:t>Std. Error Difference</w:t>
            </w:r>
          </w:p>
        </w:tc>
        <w:tc>
          <w:tcPr>
            <w:tcW w:w="1971" w:type="dxa"/>
            <w:gridSpan w:val="2"/>
            <w:tcBorders>
              <w:right w:val="single" w:color="000000" w:sz="16" w:space="0"/>
            </w:tcBorders>
            <w:shd w:val="clear" w:color="auto" w:fill="FFFFFF"/>
            <w:vAlign w:val="bottom"/>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color w:val="000000"/>
                <w:sz w:val="24"/>
                <w:szCs w:val="24"/>
              </w:rPr>
              <w:t>95% Confidence Interval of the Difference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3162" w:type="dxa"/>
            <w:gridSpan w:val="2"/>
            <w:vMerge w:val="continue"/>
            <w:tcBorders>
              <w:top w:val="single" w:color="000000" w:sz="16" w:space="0"/>
              <w:left w:val="single" w:color="000000" w:sz="16" w:space="0"/>
              <w:bottom w:val="nil"/>
              <w:right w:val="nil"/>
            </w:tcBorders>
            <w:shd w:val="clear" w:color="auto" w:fill="FFFFFF"/>
            <w:vAlign w:val="bottom"/>
          </w:tcPr>
          <w:p>
            <w:pPr>
              <w:autoSpaceDE w:val="0"/>
              <w:autoSpaceDN w:val="0"/>
              <w:adjustRightInd w:val="0"/>
              <w:spacing w:after="0" w:line="240" w:lineRule="auto"/>
              <w:rPr>
                <w:rFonts w:hint="default" w:ascii="Cambria" w:hAnsi="Cambria" w:cs="Cambria"/>
                <w:color w:val="000000"/>
                <w:sz w:val="24"/>
                <w:szCs w:val="24"/>
              </w:rPr>
            </w:pPr>
          </w:p>
        </w:tc>
        <w:tc>
          <w:tcPr>
            <w:tcW w:w="829" w:type="dxa"/>
            <w:vMerge w:val="continue"/>
            <w:tcBorders>
              <w:left w:val="single" w:color="000000" w:sz="16" w:space="0"/>
            </w:tcBorders>
            <w:shd w:val="clear" w:color="auto" w:fill="FFFFFF"/>
            <w:vAlign w:val="bottom"/>
          </w:tcPr>
          <w:p>
            <w:pPr>
              <w:autoSpaceDE w:val="0"/>
              <w:autoSpaceDN w:val="0"/>
              <w:adjustRightInd w:val="0"/>
              <w:spacing w:after="0" w:line="240" w:lineRule="auto"/>
              <w:rPr>
                <w:rFonts w:hint="default" w:ascii="Cambria" w:hAnsi="Cambria" w:cs="Cambria"/>
                <w:color w:val="000000"/>
                <w:sz w:val="24"/>
                <w:szCs w:val="24"/>
              </w:rPr>
            </w:pPr>
          </w:p>
        </w:tc>
        <w:tc>
          <w:tcPr>
            <w:tcW w:w="698" w:type="dxa"/>
            <w:vMerge w:val="continue"/>
            <w:shd w:val="clear" w:color="auto" w:fill="FFFFFF"/>
            <w:vAlign w:val="bottom"/>
          </w:tcPr>
          <w:p>
            <w:pPr>
              <w:autoSpaceDE w:val="0"/>
              <w:autoSpaceDN w:val="0"/>
              <w:adjustRightInd w:val="0"/>
              <w:spacing w:after="0" w:line="240" w:lineRule="auto"/>
              <w:rPr>
                <w:rFonts w:hint="default" w:ascii="Cambria" w:hAnsi="Cambria" w:cs="Cambria"/>
                <w:color w:val="000000"/>
                <w:sz w:val="24"/>
                <w:szCs w:val="24"/>
              </w:rPr>
            </w:pPr>
          </w:p>
        </w:tc>
        <w:tc>
          <w:tcPr>
            <w:tcW w:w="786" w:type="dxa"/>
            <w:vMerge w:val="continue"/>
            <w:shd w:val="clear" w:color="auto" w:fill="FFFFFF"/>
            <w:vAlign w:val="bottom"/>
          </w:tcPr>
          <w:p>
            <w:pPr>
              <w:autoSpaceDE w:val="0"/>
              <w:autoSpaceDN w:val="0"/>
              <w:adjustRightInd w:val="0"/>
              <w:spacing w:after="0" w:line="240" w:lineRule="auto"/>
              <w:rPr>
                <w:rFonts w:hint="default" w:ascii="Cambria" w:hAnsi="Cambria" w:cs="Cambria"/>
                <w:color w:val="000000"/>
                <w:sz w:val="24"/>
                <w:szCs w:val="24"/>
              </w:rPr>
            </w:pPr>
          </w:p>
        </w:tc>
        <w:tc>
          <w:tcPr>
            <w:tcW w:w="916" w:type="dxa"/>
            <w:vMerge w:val="continue"/>
            <w:shd w:val="clear" w:color="auto" w:fill="FFFFFF"/>
            <w:vAlign w:val="bottom"/>
          </w:tcPr>
          <w:p>
            <w:pPr>
              <w:autoSpaceDE w:val="0"/>
              <w:autoSpaceDN w:val="0"/>
              <w:adjustRightInd w:val="0"/>
              <w:spacing w:after="0" w:line="240" w:lineRule="auto"/>
              <w:rPr>
                <w:rFonts w:hint="default" w:ascii="Cambria" w:hAnsi="Cambria" w:cs="Cambria"/>
                <w:color w:val="000000"/>
                <w:sz w:val="24"/>
                <w:szCs w:val="24"/>
              </w:rPr>
            </w:pPr>
          </w:p>
        </w:tc>
        <w:tc>
          <w:tcPr>
            <w:tcW w:w="829" w:type="dxa"/>
            <w:vMerge w:val="continue"/>
            <w:shd w:val="clear" w:color="auto" w:fill="FFFFFF"/>
            <w:vAlign w:val="bottom"/>
          </w:tcPr>
          <w:p>
            <w:pPr>
              <w:autoSpaceDE w:val="0"/>
              <w:autoSpaceDN w:val="0"/>
              <w:adjustRightInd w:val="0"/>
              <w:spacing w:after="0" w:line="240" w:lineRule="auto"/>
              <w:rPr>
                <w:rFonts w:hint="default" w:ascii="Cambria" w:hAnsi="Cambria" w:cs="Cambria"/>
                <w:color w:val="000000"/>
                <w:sz w:val="24"/>
                <w:szCs w:val="24"/>
              </w:rPr>
            </w:pPr>
          </w:p>
        </w:tc>
        <w:tc>
          <w:tcPr>
            <w:tcW w:w="862" w:type="dxa"/>
            <w:vMerge w:val="continue"/>
            <w:shd w:val="clear" w:color="auto" w:fill="FFFFFF"/>
            <w:vAlign w:val="bottom"/>
          </w:tcPr>
          <w:p>
            <w:pPr>
              <w:autoSpaceDE w:val="0"/>
              <w:autoSpaceDN w:val="0"/>
              <w:adjustRightInd w:val="0"/>
              <w:spacing w:after="0" w:line="240" w:lineRule="auto"/>
              <w:rPr>
                <w:rFonts w:hint="default" w:ascii="Cambria" w:hAnsi="Cambria" w:cs="Cambria"/>
                <w:color w:val="000000"/>
                <w:sz w:val="24"/>
                <w:szCs w:val="24"/>
              </w:rPr>
            </w:pPr>
          </w:p>
        </w:tc>
        <w:tc>
          <w:tcPr>
            <w:tcW w:w="862" w:type="dxa"/>
            <w:vMerge w:val="continue"/>
            <w:shd w:val="clear" w:color="auto" w:fill="FFFFFF"/>
            <w:vAlign w:val="bottom"/>
          </w:tcPr>
          <w:p>
            <w:pPr>
              <w:autoSpaceDE w:val="0"/>
              <w:autoSpaceDN w:val="0"/>
              <w:adjustRightInd w:val="0"/>
              <w:spacing w:after="0" w:line="240" w:lineRule="auto"/>
              <w:rPr>
                <w:rFonts w:hint="default" w:ascii="Cambria" w:hAnsi="Cambria" w:cs="Cambria"/>
                <w:color w:val="000000"/>
                <w:sz w:val="24"/>
                <w:szCs w:val="24"/>
              </w:rPr>
            </w:pPr>
          </w:p>
        </w:tc>
        <w:tc>
          <w:tcPr>
            <w:tcW w:w="927" w:type="dxa"/>
            <w:tcBorders>
              <w:bottom w:val="single" w:color="000000" w:sz="16" w:space="0"/>
            </w:tcBorders>
            <w:shd w:val="clear" w:color="auto" w:fill="FFFFFF"/>
            <w:vAlign w:val="bottom"/>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color w:val="000000"/>
                <w:sz w:val="24"/>
                <w:szCs w:val="24"/>
              </w:rPr>
              <w:t>Lower</w:t>
            </w:r>
          </w:p>
        </w:tc>
        <w:tc>
          <w:tcPr>
            <w:tcW w:w="1044" w:type="dxa"/>
            <w:tcBorders>
              <w:bottom w:val="single" w:color="000000" w:sz="16" w:space="0"/>
              <w:right w:val="single" w:color="000000" w:sz="16" w:space="0"/>
            </w:tcBorders>
            <w:shd w:val="clear" w:color="auto" w:fill="FFFFFF"/>
            <w:vAlign w:val="bottom"/>
          </w:tcPr>
          <w:p>
            <w:pPr>
              <w:autoSpaceDE w:val="0"/>
              <w:autoSpaceDN w:val="0"/>
              <w:adjustRightInd w:val="0"/>
              <w:spacing w:after="0" w:line="240" w:lineRule="auto"/>
              <w:ind w:left="60" w:right="60"/>
              <w:jc w:val="center"/>
              <w:rPr>
                <w:rFonts w:hint="default" w:ascii="Cambria" w:hAnsi="Cambria" w:cs="Cambria"/>
                <w:color w:val="000000"/>
                <w:sz w:val="24"/>
                <w:szCs w:val="24"/>
              </w:rPr>
            </w:pPr>
            <w:r>
              <w:rPr>
                <w:rFonts w:hint="default" w:ascii="Cambria" w:hAnsi="Cambria" w:cs="Cambria"/>
                <w:color w:val="000000"/>
                <w:sz w:val="24"/>
                <w:szCs w:val="24"/>
              </w:rPr>
              <w:t>Upper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471" w:type="dxa"/>
            <w:vMerge w:val="restart"/>
            <w:tcBorders>
              <w:top w:val="single" w:color="000000" w:sz="16" w:space="0"/>
              <w:left w:val="single" w:color="000000" w:sz="16" w:space="0"/>
              <w:bottom w:val="single" w:color="000000" w:sz="16" w:space="0"/>
              <w:right w:val="nil"/>
            </w:tcBorders>
            <w:shd w:val="clear" w:color="auto" w:fill="FFFFFF"/>
          </w:tcPr>
          <w:p>
            <w:pPr>
              <w:autoSpaceDE w:val="0"/>
              <w:autoSpaceDN w:val="0"/>
              <w:adjustRightInd w:val="0"/>
              <w:spacing w:after="0" w:line="240" w:lineRule="auto"/>
              <w:ind w:left="60" w:right="60"/>
              <w:rPr>
                <w:rFonts w:hint="default" w:ascii="Cambria" w:hAnsi="Cambria" w:cs="Cambria"/>
                <w:color w:val="000000"/>
                <w:sz w:val="24"/>
                <w:szCs w:val="24"/>
              </w:rPr>
            </w:pPr>
            <w:r>
              <w:rPr>
                <w:rFonts w:hint="default" w:ascii="Cambria" w:hAnsi="Cambria" w:cs="Cambria"/>
                <w:color w:val="000000"/>
                <w:sz w:val="24"/>
                <w:szCs w:val="24"/>
              </w:rPr>
              <w:t>Hasil Belajar Statistik</w:t>
            </w:r>
          </w:p>
        </w:tc>
        <w:tc>
          <w:tcPr>
            <w:tcW w:w="1691" w:type="dxa"/>
            <w:tcBorders>
              <w:top w:val="single" w:color="000000" w:sz="16" w:space="0"/>
              <w:left w:val="nil"/>
              <w:bottom w:val="nil"/>
              <w:right w:val="single" w:color="000000" w:sz="16" w:space="0"/>
            </w:tcBorders>
            <w:shd w:val="clear" w:color="auto" w:fill="FFFFFF"/>
          </w:tcPr>
          <w:p>
            <w:pPr>
              <w:autoSpaceDE w:val="0"/>
              <w:autoSpaceDN w:val="0"/>
              <w:adjustRightInd w:val="0"/>
              <w:spacing w:after="0" w:line="240" w:lineRule="auto"/>
              <w:ind w:left="60" w:right="60"/>
              <w:rPr>
                <w:rFonts w:hint="default" w:ascii="Cambria" w:hAnsi="Cambria" w:cs="Cambria"/>
                <w:color w:val="000000"/>
                <w:sz w:val="24"/>
                <w:szCs w:val="24"/>
              </w:rPr>
            </w:pPr>
            <w:r>
              <w:rPr>
                <w:rFonts w:hint="default" w:ascii="Cambria" w:hAnsi="Cambria" w:cs="Cambria"/>
                <w:color w:val="000000"/>
                <w:sz w:val="24"/>
                <w:szCs w:val="24"/>
              </w:rPr>
              <w:t>Equal variances assumed</w:t>
            </w:r>
          </w:p>
        </w:tc>
        <w:tc>
          <w:tcPr>
            <w:tcW w:w="829" w:type="dxa"/>
            <w:tcBorders>
              <w:top w:val="single" w:color="000000" w:sz="16" w:space="0"/>
              <w:left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lang w:val="en-US"/>
              </w:rPr>
              <w:t>1</w:t>
            </w:r>
            <w:r>
              <w:rPr>
                <w:rFonts w:hint="default" w:ascii="Cambria" w:hAnsi="Cambria" w:cs="Cambria"/>
                <w:color w:val="000000"/>
                <w:sz w:val="24"/>
                <w:szCs w:val="24"/>
              </w:rPr>
              <w:t>,8</w:t>
            </w:r>
            <w:r>
              <w:rPr>
                <w:rFonts w:hint="default" w:ascii="Cambria" w:hAnsi="Cambria" w:cs="Cambria"/>
                <w:color w:val="000000"/>
                <w:sz w:val="24"/>
                <w:szCs w:val="24"/>
                <w:lang w:val="en-US"/>
              </w:rPr>
              <w:t>80</w:t>
            </w:r>
          </w:p>
        </w:tc>
        <w:tc>
          <w:tcPr>
            <w:tcW w:w="698"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rPr>
              <w:t>,</w:t>
            </w:r>
            <w:r>
              <w:rPr>
                <w:rFonts w:hint="default" w:ascii="Cambria" w:hAnsi="Cambria" w:cs="Cambria"/>
                <w:color w:val="000000"/>
                <w:sz w:val="24"/>
                <w:szCs w:val="24"/>
                <w:lang w:val="en-US"/>
              </w:rPr>
              <w:t>174</w:t>
            </w:r>
          </w:p>
        </w:tc>
        <w:tc>
          <w:tcPr>
            <w:tcW w:w="786"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lang w:val="en-US"/>
              </w:rPr>
              <w:t>3,814</w:t>
            </w:r>
          </w:p>
        </w:tc>
        <w:tc>
          <w:tcPr>
            <w:tcW w:w="916"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lang w:val="en-US"/>
              </w:rPr>
              <w:t>76</w:t>
            </w:r>
          </w:p>
        </w:tc>
        <w:tc>
          <w:tcPr>
            <w:tcW w:w="829"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rPr>
              <w:t>,00</w:t>
            </w:r>
            <w:r>
              <w:rPr>
                <w:rFonts w:hint="default" w:ascii="Cambria" w:hAnsi="Cambria" w:cs="Cambria"/>
                <w:color w:val="000000"/>
                <w:sz w:val="24"/>
                <w:szCs w:val="24"/>
                <w:lang w:val="en-US"/>
              </w:rPr>
              <w:t>0</w:t>
            </w:r>
          </w:p>
        </w:tc>
        <w:tc>
          <w:tcPr>
            <w:tcW w:w="862"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lang w:val="en-US"/>
              </w:rPr>
              <w:t>9,921</w:t>
            </w:r>
          </w:p>
        </w:tc>
        <w:tc>
          <w:tcPr>
            <w:tcW w:w="862"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lang w:val="en-US"/>
              </w:rPr>
              <w:t>2,601</w:t>
            </w:r>
          </w:p>
        </w:tc>
        <w:tc>
          <w:tcPr>
            <w:tcW w:w="927" w:type="dxa"/>
            <w:tcBorders>
              <w:top w:val="single" w:color="000000" w:sz="16" w:space="0"/>
              <w:bottom w:val="nil"/>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lang w:val="en-US"/>
              </w:rPr>
              <w:t>4,738</w:t>
            </w:r>
          </w:p>
        </w:tc>
        <w:tc>
          <w:tcPr>
            <w:tcW w:w="1044" w:type="dxa"/>
            <w:tcBorders>
              <w:top w:val="single" w:color="000000" w:sz="16" w:space="0"/>
              <w:bottom w:val="nil"/>
              <w:right w:val="single" w:color="000000" w:sz="16" w:space="0"/>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lang w:val="en-US"/>
              </w:rPr>
              <w:t>15,104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471" w:type="dxa"/>
            <w:vMerge w:val="continue"/>
            <w:tcBorders>
              <w:top w:val="single" w:color="000000" w:sz="16" w:space="0"/>
              <w:left w:val="single" w:color="000000" w:sz="16" w:space="0"/>
              <w:bottom w:val="single" w:color="000000" w:sz="16" w:space="0"/>
              <w:right w:val="nil"/>
            </w:tcBorders>
            <w:shd w:val="clear" w:color="auto" w:fill="FFFFFF"/>
          </w:tcPr>
          <w:p>
            <w:pPr>
              <w:autoSpaceDE w:val="0"/>
              <w:autoSpaceDN w:val="0"/>
              <w:adjustRightInd w:val="0"/>
              <w:spacing w:after="0" w:line="240" w:lineRule="auto"/>
              <w:rPr>
                <w:rFonts w:hint="default" w:ascii="Cambria" w:hAnsi="Cambria" w:cs="Cambria"/>
                <w:color w:val="000000"/>
                <w:sz w:val="24"/>
                <w:szCs w:val="24"/>
              </w:rPr>
            </w:pPr>
          </w:p>
        </w:tc>
        <w:tc>
          <w:tcPr>
            <w:tcW w:w="1691" w:type="dxa"/>
            <w:tcBorders>
              <w:top w:val="nil"/>
              <w:left w:val="nil"/>
              <w:bottom w:val="single" w:color="000000" w:sz="16" w:space="0"/>
              <w:right w:val="single" w:color="000000" w:sz="16" w:space="0"/>
            </w:tcBorders>
            <w:shd w:val="clear" w:color="auto" w:fill="FFFFFF"/>
          </w:tcPr>
          <w:p>
            <w:pPr>
              <w:autoSpaceDE w:val="0"/>
              <w:autoSpaceDN w:val="0"/>
              <w:adjustRightInd w:val="0"/>
              <w:spacing w:after="0" w:line="240" w:lineRule="auto"/>
              <w:ind w:left="60" w:right="60"/>
              <w:rPr>
                <w:rFonts w:hint="default" w:ascii="Cambria" w:hAnsi="Cambria" w:cs="Cambria"/>
                <w:color w:val="000000"/>
                <w:sz w:val="24"/>
                <w:szCs w:val="24"/>
              </w:rPr>
            </w:pPr>
            <w:r>
              <w:rPr>
                <w:rFonts w:hint="default" w:ascii="Cambria" w:hAnsi="Cambria" w:cs="Cambria"/>
                <w:color w:val="000000"/>
                <w:sz w:val="24"/>
                <w:szCs w:val="24"/>
              </w:rPr>
              <w:t>Equal variances not assumed</w:t>
            </w:r>
          </w:p>
        </w:tc>
        <w:tc>
          <w:tcPr>
            <w:tcW w:w="829" w:type="dxa"/>
            <w:tcBorders>
              <w:top w:val="nil"/>
              <w:left w:val="single" w:color="000000" w:sz="16" w:space="0"/>
              <w:bottom w:val="single" w:color="000000" w:sz="16" w:space="0"/>
            </w:tcBorders>
            <w:shd w:val="clear" w:color="auto" w:fill="FFFFFF"/>
            <w:vAlign w:val="center"/>
          </w:tcPr>
          <w:p>
            <w:pPr>
              <w:autoSpaceDE w:val="0"/>
              <w:autoSpaceDN w:val="0"/>
              <w:adjustRightInd w:val="0"/>
              <w:spacing w:after="0" w:line="240" w:lineRule="auto"/>
              <w:rPr>
                <w:rFonts w:hint="default" w:ascii="Cambria" w:hAnsi="Cambria" w:cs="Cambria"/>
                <w:sz w:val="24"/>
                <w:szCs w:val="24"/>
              </w:rPr>
            </w:pPr>
          </w:p>
        </w:tc>
        <w:tc>
          <w:tcPr>
            <w:tcW w:w="698" w:type="dxa"/>
            <w:tcBorders>
              <w:top w:val="nil"/>
              <w:bottom w:val="single" w:color="000000" w:sz="16" w:space="0"/>
            </w:tcBorders>
            <w:shd w:val="clear" w:color="auto" w:fill="FFFFFF"/>
            <w:vAlign w:val="center"/>
          </w:tcPr>
          <w:p>
            <w:pPr>
              <w:autoSpaceDE w:val="0"/>
              <w:autoSpaceDN w:val="0"/>
              <w:adjustRightInd w:val="0"/>
              <w:spacing w:after="0" w:line="240" w:lineRule="auto"/>
              <w:rPr>
                <w:rFonts w:hint="default" w:ascii="Cambria" w:hAnsi="Cambria" w:cs="Cambria"/>
                <w:sz w:val="24"/>
                <w:szCs w:val="24"/>
              </w:rPr>
            </w:pPr>
          </w:p>
        </w:tc>
        <w:tc>
          <w:tcPr>
            <w:tcW w:w="786" w:type="dxa"/>
            <w:tcBorders>
              <w:top w:val="nil"/>
              <w:bottom w:val="single" w:color="000000" w:sz="16" w:space="0"/>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lang w:val="en-US"/>
              </w:rPr>
              <w:t>3,814</w:t>
            </w:r>
          </w:p>
        </w:tc>
        <w:tc>
          <w:tcPr>
            <w:tcW w:w="916" w:type="dxa"/>
            <w:tcBorders>
              <w:top w:val="nil"/>
              <w:bottom w:val="single" w:color="000000" w:sz="16" w:space="0"/>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lang w:val="en-US"/>
              </w:rPr>
              <w:t>64,712</w:t>
            </w:r>
          </w:p>
        </w:tc>
        <w:tc>
          <w:tcPr>
            <w:tcW w:w="829" w:type="dxa"/>
            <w:tcBorders>
              <w:top w:val="nil"/>
              <w:bottom w:val="single" w:color="000000" w:sz="16" w:space="0"/>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rPr>
              <w:t>,00</w:t>
            </w:r>
            <w:r>
              <w:rPr>
                <w:rFonts w:hint="default" w:ascii="Cambria" w:hAnsi="Cambria" w:cs="Cambria"/>
                <w:color w:val="000000"/>
                <w:sz w:val="24"/>
                <w:szCs w:val="24"/>
                <w:lang w:val="en-US"/>
              </w:rPr>
              <w:t>0</w:t>
            </w:r>
          </w:p>
        </w:tc>
        <w:tc>
          <w:tcPr>
            <w:tcW w:w="862" w:type="dxa"/>
            <w:tcBorders>
              <w:top w:val="nil"/>
              <w:bottom w:val="single" w:color="000000" w:sz="16" w:space="0"/>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lang w:val="en-US"/>
              </w:rPr>
              <w:t>9,921</w:t>
            </w:r>
          </w:p>
        </w:tc>
        <w:tc>
          <w:tcPr>
            <w:tcW w:w="862" w:type="dxa"/>
            <w:tcBorders>
              <w:top w:val="nil"/>
              <w:bottom w:val="single" w:color="000000" w:sz="16" w:space="0"/>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rPr>
              <w:t>2,</w:t>
            </w:r>
            <w:r>
              <w:rPr>
                <w:rFonts w:hint="default" w:ascii="Cambria" w:hAnsi="Cambria" w:cs="Cambria"/>
                <w:color w:val="000000"/>
                <w:sz w:val="24"/>
                <w:szCs w:val="24"/>
                <w:lang w:val="en-US"/>
              </w:rPr>
              <w:t>601</w:t>
            </w:r>
          </w:p>
        </w:tc>
        <w:tc>
          <w:tcPr>
            <w:tcW w:w="927" w:type="dxa"/>
            <w:tcBorders>
              <w:top w:val="nil"/>
              <w:bottom w:val="single" w:color="000000" w:sz="16" w:space="0"/>
            </w:tcBorders>
            <w:shd w:val="clear" w:color="auto" w:fill="FFFFFF"/>
            <w:vAlign w:val="center"/>
          </w:tcPr>
          <w:p>
            <w:pPr>
              <w:wordWrap w:val="0"/>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lang w:val="en-US"/>
              </w:rPr>
              <w:t>4,725</w:t>
            </w:r>
          </w:p>
        </w:tc>
        <w:tc>
          <w:tcPr>
            <w:tcW w:w="1044" w:type="dxa"/>
            <w:tcBorders>
              <w:top w:val="nil"/>
              <w:bottom w:val="single" w:color="000000" w:sz="16" w:space="0"/>
              <w:right w:val="single" w:color="000000" w:sz="16" w:space="0"/>
            </w:tcBorders>
            <w:shd w:val="clear" w:color="auto" w:fill="FFFFFF"/>
            <w:vAlign w:val="center"/>
          </w:tcPr>
          <w:p>
            <w:pPr>
              <w:autoSpaceDE w:val="0"/>
              <w:autoSpaceDN w:val="0"/>
              <w:adjustRightInd w:val="0"/>
              <w:spacing w:after="0" w:line="240" w:lineRule="auto"/>
              <w:ind w:left="60" w:right="60"/>
              <w:jc w:val="right"/>
              <w:rPr>
                <w:rFonts w:hint="default" w:ascii="Cambria" w:hAnsi="Cambria" w:cs="Cambria"/>
                <w:color w:val="000000"/>
                <w:sz w:val="24"/>
                <w:szCs w:val="24"/>
                <w:lang w:val="en-US"/>
              </w:rPr>
            </w:pPr>
            <w:r>
              <w:rPr>
                <w:rFonts w:hint="default" w:ascii="Cambria" w:hAnsi="Cambria" w:cs="Cambria"/>
                <w:color w:val="000000"/>
                <w:sz w:val="24"/>
                <w:szCs w:val="24"/>
                <w:lang w:val="en-US"/>
              </w:rPr>
              <w:t>15,117</w:t>
            </w:r>
          </w:p>
        </w:tc>
      </w:tr>
    </w:tbl>
    <w:p>
      <w:pPr>
        <w:autoSpaceDE w:val="0"/>
        <w:autoSpaceDN w:val="0"/>
        <w:adjustRightInd w:val="0"/>
        <w:spacing w:after="0" w:line="240" w:lineRule="auto"/>
        <w:ind w:left="-1134"/>
        <w:jc w:val="both"/>
        <w:rPr>
          <w:rFonts w:hint="default" w:ascii="Cambria" w:hAnsi="Cambria" w:cs="Cambria"/>
          <w:sz w:val="24"/>
          <w:szCs w:val="24"/>
        </w:rPr>
      </w:pPr>
    </w:p>
    <w:p>
      <w:pPr>
        <w:autoSpaceDE w:val="0"/>
        <w:autoSpaceDN w:val="0"/>
        <w:adjustRightInd w:val="0"/>
        <w:spacing w:after="0" w:line="240" w:lineRule="auto"/>
        <w:ind w:firstLine="567"/>
        <w:jc w:val="both"/>
        <w:rPr>
          <w:rFonts w:hint="default" w:ascii="Cambria" w:hAnsi="Cambria" w:cs="Cambria"/>
          <w:sz w:val="24"/>
          <w:szCs w:val="24"/>
        </w:rPr>
      </w:pPr>
      <w:r>
        <w:rPr>
          <w:rFonts w:hint="default" w:ascii="Cambria" w:hAnsi="Cambria" w:cs="Cambria"/>
          <w:sz w:val="24"/>
          <w:szCs w:val="24"/>
        </w:rPr>
        <w:t xml:space="preserve">Berdasarkan hasil analisis uji indenpedent sampel t-test di atas terlihat bahwa terdapat perbedaan yang signifikan hasil belajar statistik antara mahasiswa </w:t>
      </w:r>
      <w:r>
        <w:rPr>
          <w:rFonts w:hint="default" w:ascii="Cambria" w:hAnsi="Cambria" w:cs="Cambria"/>
          <w:sz w:val="24"/>
          <w:szCs w:val="24"/>
          <w:lang w:val="en-US"/>
        </w:rPr>
        <w:t>kelas c dan kelas f</w:t>
      </w:r>
      <w:r>
        <w:rPr>
          <w:rFonts w:hint="default" w:ascii="Cambria" w:hAnsi="Cambria" w:cs="Cambria"/>
          <w:sz w:val="24"/>
          <w:szCs w:val="24"/>
        </w:rPr>
        <w:t>. Hal ini bisa dilihat dari ni</w:t>
      </w:r>
      <w:r>
        <w:rPr>
          <w:rFonts w:hint="default" w:ascii="Cambria" w:hAnsi="Cambria" w:cs="Cambria"/>
          <w:sz w:val="24"/>
          <w:szCs w:val="24"/>
          <w:lang w:val="en-US"/>
        </w:rPr>
        <w:t>l</w:t>
      </w:r>
      <w:r>
        <w:rPr>
          <w:rFonts w:hint="default" w:ascii="Cambria" w:hAnsi="Cambria" w:cs="Cambria"/>
          <w:sz w:val="24"/>
          <w:szCs w:val="24"/>
        </w:rPr>
        <w:t>ai signifikansi 2 tailed 0,00</w:t>
      </w:r>
      <w:r>
        <w:rPr>
          <w:rFonts w:hint="default" w:ascii="Cambria" w:hAnsi="Cambria" w:cs="Cambria"/>
          <w:sz w:val="24"/>
          <w:szCs w:val="24"/>
          <w:lang w:val="en-US"/>
        </w:rPr>
        <w:t>0</w:t>
      </w:r>
      <w:r>
        <w:rPr>
          <w:rFonts w:hint="default" w:ascii="Cambria" w:hAnsi="Cambria" w:cs="Cambria"/>
          <w:sz w:val="24"/>
          <w:szCs w:val="24"/>
        </w:rPr>
        <w:t xml:space="preserve"> &lt; 0,05 maka Ha diterima dan Ho ditolak.</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eastAsia="SimSun" w:cs="Cambria"/>
          <w:color w:val="000000"/>
          <w:kern w:val="0"/>
          <w:sz w:val="24"/>
          <w:szCs w:val="24"/>
          <w:lang w:val="en-US" w:eastAsia="zh-CN" w:bidi="ar"/>
        </w:rPr>
      </w:pPr>
      <w:r>
        <w:rPr>
          <w:rFonts w:hint="default" w:ascii="Cambria" w:hAnsi="Cambria" w:eastAsia="SimSun" w:cs="Cambria"/>
          <w:color w:val="000000"/>
          <w:kern w:val="0"/>
          <w:sz w:val="24"/>
          <w:szCs w:val="24"/>
          <w:lang w:val="en-US" w:eastAsia="zh-CN" w:bidi="ar"/>
        </w:rPr>
        <w:t xml:space="preserve">Hasil uji Levene tersebut, diketahui bahwa nilai signifikansinya sebesar 0,174 &gt;α : 0,05 sehingga hipotesis nol diterima yang berarti semua populasi mempunyai varians yang sama/homogen. Dengan demikian, data </w:t>
      </w:r>
      <w:r>
        <w:rPr>
          <w:rFonts w:hint="default" w:ascii="Cambria" w:hAnsi="Cambria" w:eastAsia="SimSun" w:cs="Cambria"/>
          <w:i/>
          <w:iCs/>
          <w:color w:val="000000"/>
          <w:kern w:val="0"/>
          <w:sz w:val="24"/>
          <w:szCs w:val="24"/>
          <w:lang w:val="en-US" w:eastAsia="zh-CN" w:bidi="ar"/>
        </w:rPr>
        <w:t xml:space="preserve">post test </w:t>
      </w:r>
      <w:r>
        <w:rPr>
          <w:rFonts w:hint="default" w:ascii="Cambria" w:hAnsi="Cambria" w:eastAsia="SimSun" w:cs="Cambria"/>
          <w:color w:val="000000"/>
          <w:kern w:val="0"/>
          <w:sz w:val="24"/>
          <w:szCs w:val="24"/>
          <w:lang w:val="en-US" w:eastAsia="zh-CN" w:bidi="ar"/>
        </w:rPr>
        <w:t xml:space="preserve">hasil belajar mahasiswa secara keseluruhan dapat disimpulkan memiliki varians yang sama atau homogen. Berdasarkan pengujian normalitas dan homogenitas di atas disimpulkan bahwa data </w:t>
      </w:r>
      <w:r>
        <w:rPr>
          <w:rFonts w:hint="default" w:ascii="Cambria" w:hAnsi="Cambria" w:eastAsia="SimSun" w:cs="Cambria"/>
          <w:i/>
          <w:iCs/>
          <w:color w:val="000000"/>
          <w:kern w:val="0"/>
          <w:sz w:val="24"/>
          <w:szCs w:val="24"/>
          <w:lang w:val="en-US" w:eastAsia="zh-CN" w:bidi="ar"/>
        </w:rPr>
        <w:t xml:space="preserve">post test </w:t>
      </w:r>
      <w:r>
        <w:rPr>
          <w:rFonts w:hint="default" w:ascii="Cambria" w:hAnsi="Cambria" w:eastAsia="SimSun" w:cs="Cambria"/>
          <w:color w:val="000000"/>
          <w:kern w:val="0"/>
          <w:sz w:val="24"/>
          <w:szCs w:val="24"/>
          <w:lang w:val="en-US" w:eastAsia="zh-CN" w:bidi="ar"/>
        </w:rPr>
        <w:t xml:space="preserve">hasil belajar mahasiswa kedua sampel baik pada kelas eksperimen maupun kelas kontrol berdistribusi normal dan memiliki varians yang sama atau homogen. Dari hasil uji prasyarat analisis yakni uji normalitas dan homogenitas menunjukkan bahwa data data </w:t>
      </w:r>
      <w:r>
        <w:rPr>
          <w:rFonts w:hint="default" w:ascii="Cambria" w:hAnsi="Cambria" w:eastAsia="SimSun" w:cs="Cambria"/>
          <w:i/>
          <w:iCs/>
          <w:color w:val="000000"/>
          <w:kern w:val="0"/>
          <w:sz w:val="24"/>
          <w:szCs w:val="24"/>
          <w:lang w:val="en-US" w:eastAsia="zh-CN" w:bidi="ar"/>
        </w:rPr>
        <w:t xml:space="preserve">post test </w:t>
      </w:r>
      <w:r>
        <w:rPr>
          <w:rFonts w:hint="default" w:ascii="Cambria" w:hAnsi="Cambria" w:eastAsia="SimSun" w:cs="Cambria"/>
          <w:color w:val="000000"/>
          <w:kern w:val="0"/>
          <w:sz w:val="24"/>
          <w:szCs w:val="24"/>
          <w:lang w:val="en-US" w:eastAsia="zh-CN" w:bidi="ar"/>
        </w:rPr>
        <w:t xml:space="preserve">hasil belajar mahasiswa berdistribusi normal dan homogen, maka untuk menganalisisnya menggunakan uji statistik parametrik yakni menggunakan uji t.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Berdasarkan hasil perhitungan, dengan menggunakan uji t pada taraf signifikansi 05 diperoleh dapat diketahui bahwa nilai F pada faktor pembelajaran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dan pembelajaran langsung) dengan nilai signifikansi 0,000 lebih kecil dari taraf signifikansi 0,05 sehingga Ho ditolak. Dengan kata lain, terdapat perbedaan hasil belajar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0" w:firstLineChars="0"/>
        <w:jc w:val="both"/>
        <w:textAlignment w:val="auto"/>
        <w:rPr>
          <w:rFonts w:hint="default" w:ascii="Cambria" w:hAnsi="Cambria" w:eastAsia="SimSun" w:cs="Cambria"/>
          <w:color w:val="000000"/>
          <w:kern w:val="0"/>
          <w:sz w:val="24"/>
          <w:szCs w:val="24"/>
          <w:lang w:val="en-US" w:eastAsia="zh-CN" w:bidi="ar"/>
        </w:rPr>
      </w:pPr>
      <w:r>
        <w:rPr>
          <w:rFonts w:hint="default" w:ascii="Cambria" w:hAnsi="Cambria" w:eastAsia="SimSun" w:cs="Cambria"/>
          <w:color w:val="000000"/>
          <w:kern w:val="0"/>
          <w:sz w:val="24"/>
          <w:szCs w:val="24"/>
          <w:lang w:val="en-US" w:eastAsia="zh-CN" w:bidi="ar"/>
        </w:rPr>
        <w:t xml:space="preserve">mahasiswa antara mahasiswa yang diberi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dibandingkan dengan mahasiswa yang diberi pembelajaran langsung. Oleh karena itu, dapat disimpulkan ratarata hasil belajar mahasiswa yang memperoleh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lebih tinggi secara signifikan dibandingkan dengan mahasiswa yang memperoleh pembelajaran langsung.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eastAsia="SimSun" w:cs="Cambria"/>
          <w:color w:val="000000"/>
          <w:kern w:val="0"/>
          <w:sz w:val="24"/>
          <w:szCs w:val="24"/>
          <w:lang w:val="en-US" w:eastAsia="zh-CN" w:bidi="ar"/>
        </w:rPr>
      </w:pPr>
      <w:r>
        <w:rPr>
          <w:rFonts w:hint="default" w:ascii="Cambria" w:hAnsi="Cambria" w:eastAsia="SimSun" w:cs="Cambria"/>
          <w:color w:val="000000"/>
          <w:kern w:val="0"/>
          <w:sz w:val="24"/>
          <w:szCs w:val="24"/>
          <w:lang w:val="en-US" w:eastAsia="zh-CN" w:bidi="ar"/>
        </w:rPr>
        <w:t xml:space="preserve">Hasil penelitian ini diperoleh bahwa rata-rata hasil belajar </w:t>
      </w:r>
      <w:r>
        <w:rPr>
          <w:rFonts w:hint="default" w:ascii="Cambria" w:hAnsi="Cambria" w:eastAsia="SimSun" w:cs="Cambria"/>
          <w:i/>
          <w:iCs/>
          <w:color w:val="000000"/>
          <w:kern w:val="0"/>
          <w:sz w:val="24"/>
          <w:szCs w:val="24"/>
          <w:lang w:val="en-US" w:eastAsia="zh-CN" w:bidi="ar"/>
        </w:rPr>
        <w:t xml:space="preserve">post test </w:t>
      </w:r>
      <w:r>
        <w:rPr>
          <w:rFonts w:hint="default" w:ascii="Cambria" w:hAnsi="Cambria" w:eastAsia="SimSun" w:cs="Cambria"/>
          <w:color w:val="000000"/>
          <w:kern w:val="0"/>
          <w:sz w:val="24"/>
          <w:szCs w:val="24"/>
          <w:lang w:val="en-US" w:eastAsia="zh-CN" w:bidi="ar"/>
        </w:rPr>
        <w:t xml:space="preserve">mahasiswa yang memperoleh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sebesar 85,82 dan pada siswa yang diajarkan dengan pembelajaran langsung sebesar 75,30. Hal ini menunjukkan bahwa rata-rata hasil belajar </w:t>
      </w:r>
      <w:r>
        <w:rPr>
          <w:rFonts w:hint="default" w:ascii="Cambria" w:hAnsi="Cambria" w:eastAsia="SimSun" w:cs="Cambria"/>
          <w:i/>
          <w:iCs/>
          <w:color w:val="000000"/>
          <w:kern w:val="0"/>
          <w:sz w:val="24"/>
          <w:szCs w:val="24"/>
          <w:lang w:val="en-US" w:eastAsia="zh-CN" w:bidi="ar"/>
        </w:rPr>
        <w:t xml:space="preserve">post test </w:t>
      </w:r>
      <w:r>
        <w:rPr>
          <w:rFonts w:hint="default" w:ascii="Cambria" w:hAnsi="Cambria" w:eastAsia="SimSun" w:cs="Cambria"/>
          <w:color w:val="000000"/>
          <w:kern w:val="0"/>
          <w:sz w:val="24"/>
          <w:szCs w:val="24"/>
          <w:lang w:val="en-US" w:eastAsia="zh-CN" w:bidi="ar"/>
        </w:rPr>
        <w:t xml:space="preserve">mahasiswa yang memperoleh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lebih tinggi daripada siswa yang memperoleh pembelajaran langsung. Berdasarkan pengujian dengan menggunakan uji-t maka diperoleh hasil belajar mahasiswa dengan nilai signifikan (sig) α = 0,000. Taraf nilai signifikan hasil belajar mahasiswa lebih kecil dari α = 0,05, maka dapat disimpulkan bahwa nilai rata-rata hasil belajar mahasiswa yang memperoleh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lebih tinggi daripada mahasiswa yang memperoleh pembelajaran langsung. Salah satu faktor yang paling berpengaruh terhadap peningkatan hasil belajar mahasiswa adalah pembelajaran khususnya disini pembelajaran kooperatif </w:t>
      </w:r>
      <w:r>
        <w:rPr>
          <w:rFonts w:hint="default" w:ascii="Cambria" w:hAnsi="Cambria" w:eastAsia="SimSun" w:cs="Cambria"/>
          <w:i/>
          <w:iCs/>
          <w:color w:val="000000"/>
          <w:kern w:val="0"/>
          <w:sz w:val="24"/>
          <w:szCs w:val="24"/>
          <w:lang w:val="en-US" w:eastAsia="zh-CN" w:bidi="ar"/>
        </w:rPr>
        <w:t>tipe jigsaw</w:t>
      </w:r>
      <w:r>
        <w:rPr>
          <w:rFonts w:hint="default" w:ascii="Cambria" w:hAnsi="Cambria" w:eastAsia="SimSun" w:cs="Cambria"/>
          <w:color w:val="000000"/>
          <w:kern w:val="0"/>
          <w:sz w:val="24"/>
          <w:szCs w:val="24"/>
          <w:lang w:val="en-US" w:eastAsia="zh-CN" w:bidi="ar"/>
        </w:rPr>
        <w:t xml:space="preserve">. Pada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dimulai dari dosen menetapkan topik materi dan membagi topik tersebut menjadi beberapa subtopik materi. Selanjutnya, dosen membentuk kelompok belajar heterogen terdiri atas 5-6 orang mahasiswa dan membagikan materi yang akan dibahas pada masingmasing kelompok. Ketua kelompok kemudian membagikan materi kepada masing-masing kelompoknya untuk dipelajari secara individu terlebih dahulu. Langkah pembelajaran ini tentu akan membuat mahasiswa terlibat aktif dan mandiri dalam pembelajaran di kelas.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Hal ini berbeda dengan langkah pada model pembelajaran langsung dimana dosen menyampaikan </w:t>
      </w:r>
      <w:r>
        <w:rPr>
          <w:rFonts w:hint="default" w:ascii="Cambria" w:hAnsi="Cambria" w:eastAsia="SimSun" w:cs="Cambria"/>
          <w:b/>
          <w:bCs/>
          <w:color w:val="000000"/>
          <w:kern w:val="0"/>
          <w:sz w:val="24"/>
          <w:szCs w:val="24"/>
          <w:lang w:val="en-US" w:eastAsia="zh-CN" w:bidi="ar"/>
        </w:rPr>
        <w:t>Tanti Jumaisyaroh Siregar</w:t>
      </w:r>
      <w:r>
        <w:rPr>
          <w:rFonts w:hint="default" w:ascii="Cambria" w:hAnsi="Cambria" w:eastAsia="SimSun" w:cs="Cambria"/>
          <w:color w:val="000000"/>
          <w:kern w:val="0"/>
          <w:sz w:val="24"/>
          <w:szCs w:val="24"/>
          <w:lang w:val="en-US" w:eastAsia="zh-CN" w:bidi="ar"/>
        </w:rPr>
        <w:t xml:space="preserve">: Perbedaan Hasil Belajar Mahasiswa yang Diajarkan dengan Model Pembelajaran Kooperatif Tipe Jigsaw dan Model Pembelajaran Langsung tujuan pembelajaran dan setelah itu menyampaikan materi pelajaran kepada mahasiswa. Hal ini tentu akan membuat mahasiswa menjadi pasif, pengetahuan yang dimiliki mahasiswa juga bergantung kepada dosen, serta mahasiswa menganggap dosen sebagai satu-satunya sumber belajar (Sholihah dan Mahmudi, 2015:178). Langkah selanjutnya pada model pembelajaran kooperatif tipe </w:t>
      </w:r>
      <w:r>
        <w:rPr>
          <w:rFonts w:hint="default" w:ascii="Cambria" w:hAnsi="Cambria" w:eastAsia="SimSun" w:cs="Cambria"/>
          <w:i/>
          <w:iCs/>
          <w:color w:val="000000"/>
          <w:kern w:val="0"/>
          <w:sz w:val="24"/>
          <w:szCs w:val="24"/>
          <w:lang w:val="en-US" w:eastAsia="zh-CN" w:bidi="ar"/>
        </w:rPr>
        <w:t>jigsaw</w:t>
      </w:r>
      <w:r>
        <w:rPr>
          <w:rFonts w:hint="default" w:ascii="Cambria" w:hAnsi="Cambria" w:eastAsia="SimSun" w:cs="Cambria"/>
          <w:color w:val="000000"/>
          <w:kern w:val="0"/>
          <w:sz w:val="24"/>
          <w:szCs w:val="24"/>
          <w:lang w:val="en-US" w:eastAsia="zh-CN" w:bidi="ar"/>
        </w:rPr>
        <w:t xml:space="preserve">, mahasiswa dengan sub topik materi yang sama akan berkumpul dan membentuk kelompok ahli untuk membentuk persamaan persepsi dan mengkaji lebih dalam mengenai tugas yang diberikan kepada mereka. ada saat berdiskusi masing-masing anggota tim ahli akan belajar untuk memecahkan masalah, menyampaikan pendapat, menerima perbedaan pendapat, mengajukan pertanyaan, menjawab pertanyaan dan menyiapkan materi yang akan dijelaskan pada kelompok asalnya. Hal tersebut tentu dapat meningkatkan kemampuan mahasiswa dalam pemecahan masalah, komunikasi serta kemampuan berpikir kritis mahasiswa. Pernyataan ini didukung oleh teori Slavin (2010) yang menyatakan bahwa mahasiswa yang belajar dalam kelompok akan memiliki prestasi yang lebih tinggi secara signifikan jika dibandingkan pada pembelajaran langsung. Pada pembelajaran langsung dosen hanya memberikan soal latihan kepada mahasiswa untuk dikerjakan baik secara mandiri. Pada tahap ini biasanya mahasiswa akan menerapkan pengetahuan yang diperoleh dari dosen dalam menyelesaikan latihan yang diberikan. Hal ini menyebabkan interaksi antar mahasiswa menjadi berkurang. Pada langkah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selanjutnya mahasiswa yang berada pada tim ahli akan kembali kepada kelompoknya asalnya masing-masing dan bertanggung jawab untuk menjelaskan materi bagiannya kepada anggota kelompoknya secara bergantian. Pada saat mahasiswa dapat mengajarkan suatu materi dengan teman sekelompoknya akan membuat mahasiswa dapat belajar secara efektif karena mahasiswa dapat lebih leluasa menjelaskan materi dengan teman sekelompoknya. Selain itu, mahasiswa juga dapat lebih leluasa dalam mengatur waktu pembelajaran, tujuan belajar yang dicapai dan target penguasaan materi yang diharapkan (Arjanggi &amp; Suprihatin, 2010: 95). Selain itu, pada tahap ini para anggota kelompok akan mengajukan pertanyaan terkait dengan materi yang telah dijelaskan dan saling bertukar pikiran dalam membentuk pemahaman mereka. Sedangkan pada tahap model pembelajaran langsung dosen akan mengecek pemahaman mahasiswa dan memberikan umpan balik dengan meminta beberapa orang mahasiswa menjelaskan atau menuliskan penyelesaian dari latihan yang diberikan oleh dosen di depan kelas. Hal ini terkadang menimbulkan kompetisi dan dominasi antar mahasiswa dimana mahasiswa yang memiliki kemampuan tinggi akan menunjukkan keahliannya dalam menyelesaikan permasalahan yang diberikan oleh dosen sedangkan mahasiswa dengan kemampuan rendah akan bersikap pasif dalam pembelajaran. Hal ini berdasarkan hasil penelitian Akramunnisa dan Sulestry (2016) yang menyatakan bahwa mahasiswa yang memiliki kemampuan awal yang tinggi akan mampu menganalisis masalah dengan baik, terurut, jelas dan analitis jika dibandingkan dengan mahasiswa yang memiliki kemampuan awal yang rendah. Langkah terakhir pada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dosen akan memberikan tes individu dan akan memberikan </w:t>
      </w:r>
      <w:r>
        <w:rPr>
          <w:rFonts w:hint="default" w:ascii="Cambria" w:hAnsi="Cambria" w:eastAsia="SimSun" w:cs="Cambria"/>
          <w:i/>
          <w:iCs/>
          <w:color w:val="000000"/>
          <w:kern w:val="0"/>
          <w:sz w:val="24"/>
          <w:szCs w:val="24"/>
          <w:lang w:val="en-US" w:eastAsia="zh-CN" w:bidi="ar"/>
        </w:rPr>
        <w:t xml:space="preserve">rewards </w:t>
      </w:r>
      <w:r>
        <w:rPr>
          <w:rFonts w:hint="default" w:ascii="Cambria" w:hAnsi="Cambria" w:eastAsia="SimSun" w:cs="Cambria"/>
          <w:color w:val="000000"/>
          <w:kern w:val="0"/>
          <w:sz w:val="24"/>
          <w:szCs w:val="24"/>
          <w:lang w:val="en-US" w:eastAsia="zh-CN" w:bidi="ar"/>
        </w:rPr>
        <w:t xml:space="preserve">kepada kelompok yang anggotanya mendapat nilai tertinggi. Hal ini tentu akan membuat mahasiswa termotivasi untuk belajar lebih giat untuk mendapatkan hasil belajar yang memuaskan dan setiap anggota kelompok akan saling membantu dalam memahami materi secara keseluruhan. Sedangkan pada tahap terakhir pembelajaran langsung yaitu dosen memberikan latihan mandiri kepada mahasiswa. Berdasarkan penjelasan di atas, terdapat perbedaan langkah-langkah pembelajaran antara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dengan model pembelajaran langsung dalam hal mengontruksi pengetahuan mahasiswa. Proses pembelajaran tersebut mempengaruhi hasil belajar yang diperoleh oleh mahasiswa dimana hasil belajar mahasiswa yang memperoleh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lebih baik daripada hasil belajar mahasiswa yang memperoleh pembelajaran langsung.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eastAsia="SimSun" w:cs="Cambria"/>
          <w:color w:val="000000"/>
          <w:kern w:val="0"/>
          <w:sz w:val="24"/>
          <w:szCs w:val="24"/>
          <w:lang w:val="en-US" w:eastAsia="zh-CN" w:bidi="ar"/>
        </w:rPr>
      </w:pPr>
      <w:r>
        <w:rPr>
          <w:rFonts w:hint="default" w:ascii="Cambria" w:hAnsi="Cambria" w:eastAsia="SimSun" w:cs="Cambria"/>
          <w:color w:val="000000"/>
          <w:kern w:val="0"/>
          <w:sz w:val="24"/>
          <w:szCs w:val="24"/>
          <w:lang w:val="en-US" w:eastAsia="zh-CN" w:bidi="ar"/>
        </w:rPr>
        <w:t xml:space="preserve">Hasil dalam penelitian ini juga didukung dengan penelitian terdahulu seperti Kurniawati, Budiyono, dan Saputro (2017), Saila (2016) serta Shoffa dan Suprapti (2017) yang menyatakan bahwa terdapat perbedaan yang signifikan hasil belajar mahasiswa yang diberi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dan mahasiswa yang diberi pembelajaran langsung.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eastAsia="SimSun" w:cs="Cambria"/>
          <w:color w:val="000000"/>
          <w:kern w:val="0"/>
          <w:sz w:val="24"/>
          <w:szCs w:val="24"/>
          <w:lang w:val="en-US" w:eastAsia="zh-CN" w:bidi="ar"/>
        </w:rPr>
      </w:pP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b/>
          <w:bCs/>
          <w:color w:val="000000"/>
          <w:kern w:val="0"/>
          <w:sz w:val="24"/>
          <w:szCs w:val="24"/>
          <w:lang w:val="en-US" w:eastAsia="zh-CN" w:bidi="ar"/>
        </w:rPr>
        <w:t xml:space="preserve">E. Kesimpulan </w:t>
      </w:r>
    </w:p>
    <w:p>
      <w:pPr>
        <w:keepNext w:val="0"/>
        <w:keepLines w:val="0"/>
        <w:pageBreakBefore w:val="0"/>
        <w:widowControl/>
        <w:suppressLineNumbers w:val="0"/>
        <w:kinsoku/>
        <w:wordWrap/>
        <w:overflowPunct/>
        <w:topLinePunct w:val="0"/>
        <w:autoSpaceDN/>
        <w:bidi w:val="0"/>
        <w:adjustRightInd/>
        <w:snapToGrid/>
        <w:spacing w:after="0" w:line="240" w:lineRule="auto"/>
        <w:ind w:left="0" w:leftChars="0" w:firstLine="660" w:firstLineChars="275"/>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Berdasarkan hasil dan pembahasan penelitian di atas diperoleh kesimpulan bahwa terdapat perbedaan hasil belajar yang signifikan antara mahasiswa yang menerapkan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dengan hasil belajar mahasiswa yang menerapkan model pembelajaran langsung. Selanjutnya, dapat disimpulkan rerata hasil belajar mahasiswa yang menerapkan pembelajaran kooperatif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lebih tinggi jika dibandingkan dengan rerata hasil belajar mahasiswa yang menerapkan pembelajaran langsung.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eastAsia="SimSun" w:cs="Cambria"/>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eastAsia="SimSun" w:cs="Cambria"/>
          <w:b/>
          <w:bCs/>
          <w:color w:val="000000"/>
          <w:kern w:val="0"/>
          <w:sz w:val="24"/>
          <w:szCs w:val="24"/>
          <w:lang w:val="en-US" w:eastAsia="zh-CN" w:bidi="ar"/>
        </w:rPr>
      </w:pPr>
      <w:r>
        <w:rPr>
          <w:rFonts w:hint="default" w:ascii="Cambria" w:hAnsi="Cambria" w:eastAsia="SimSun" w:cs="Cambria"/>
          <w:b/>
          <w:bCs/>
          <w:color w:val="000000"/>
          <w:kern w:val="0"/>
          <w:sz w:val="24"/>
          <w:szCs w:val="24"/>
          <w:lang w:val="en-US" w:eastAsia="zh-CN" w:bidi="ar"/>
        </w:rPr>
        <w:t xml:space="preserve">DAFTAR PUSTAKA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eastAsia="SimSun" w:cs="Cambria"/>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Abdullah, R. (2015). Urgensi penilaian hasil belajar berbasis kelas mata pelajaran IPS di madrasah tsanawiyah. </w:t>
      </w:r>
      <w:r>
        <w:rPr>
          <w:rFonts w:hint="default" w:ascii="Cambria" w:hAnsi="Cambria" w:eastAsia="SimSun" w:cs="Cambria"/>
          <w:i/>
          <w:iCs/>
          <w:color w:val="000000"/>
          <w:kern w:val="0"/>
          <w:sz w:val="24"/>
          <w:szCs w:val="24"/>
          <w:lang w:val="en-US" w:eastAsia="zh-CN" w:bidi="ar"/>
        </w:rPr>
        <w:t>Lantanida Journal</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3</w:t>
      </w:r>
      <w:r>
        <w:rPr>
          <w:rFonts w:hint="default" w:ascii="Cambria" w:hAnsi="Cambria" w:eastAsia="SimSun" w:cs="Cambria"/>
          <w:color w:val="000000"/>
          <w:kern w:val="0"/>
          <w:sz w:val="24"/>
          <w:szCs w:val="24"/>
          <w:lang w:val="en-US" w:eastAsia="zh-CN" w:bidi="ar"/>
        </w:rPr>
        <w:t xml:space="preserve">(2), 168-181.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Akramunnisa &amp; Sulestry, A. I. Analisis kemampuan menyelesaikan masalah matematika ditinjau dari kemampuan awal tinggi dan gaya kognitif field independent. </w:t>
      </w:r>
      <w:r>
        <w:rPr>
          <w:rFonts w:hint="default" w:ascii="Cambria" w:hAnsi="Cambria" w:eastAsia="SimSun" w:cs="Cambria"/>
          <w:i/>
          <w:iCs/>
          <w:color w:val="000000"/>
          <w:kern w:val="0"/>
          <w:sz w:val="24"/>
          <w:szCs w:val="24"/>
          <w:lang w:val="en-US" w:eastAsia="zh-CN" w:bidi="ar"/>
        </w:rPr>
        <w:t>Pedagogy : Jurnal Pendidikan Matematika, 1</w:t>
      </w:r>
      <w:r>
        <w:rPr>
          <w:rFonts w:hint="default" w:ascii="Cambria" w:hAnsi="Cambria" w:eastAsia="SimSun" w:cs="Cambria"/>
          <w:color w:val="000000"/>
          <w:kern w:val="0"/>
          <w:sz w:val="24"/>
          <w:szCs w:val="24"/>
          <w:lang w:val="en-US" w:eastAsia="zh-CN" w:bidi="ar"/>
        </w:rPr>
        <w:t xml:space="preserve">(2), 46-150.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Anderson, L.W., Krathwohl, D.R., Airasian, P.W., Cruickshank, K.A., Mayer, R.E., Pintrich, P.R., et al. (2001). </w:t>
      </w:r>
      <w:r>
        <w:rPr>
          <w:rFonts w:hint="default" w:ascii="Cambria" w:hAnsi="Cambria" w:eastAsia="SimSun" w:cs="Cambria"/>
          <w:i/>
          <w:iCs/>
          <w:color w:val="000000"/>
          <w:kern w:val="0"/>
          <w:sz w:val="24"/>
          <w:szCs w:val="24"/>
          <w:lang w:val="en-US" w:eastAsia="zh-CN" w:bidi="ar"/>
        </w:rPr>
        <w:t>A taxonomy for learning, teaching and assissing: A revision of bloom’s taxonomy of educational objectives</w:t>
      </w:r>
      <w:r>
        <w:rPr>
          <w:rFonts w:hint="default" w:ascii="Cambria" w:hAnsi="Cambria" w:eastAsia="SimSun" w:cs="Cambria"/>
          <w:color w:val="000000"/>
          <w:kern w:val="0"/>
          <w:sz w:val="24"/>
          <w:szCs w:val="24"/>
          <w:lang w:val="en-US" w:eastAsia="zh-CN" w:bidi="ar"/>
        </w:rPr>
        <w:t xml:space="preserve">. New York: Longman.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Arends, R. I. (2012). </w:t>
      </w:r>
      <w:r>
        <w:rPr>
          <w:rFonts w:hint="default" w:ascii="Cambria" w:hAnsi="Cambria" w:eastAsia="SimSun" w:cs="Cambria"/>
          <w:i/>
          <w:iCs/>
          <w:color w:val="000000"/>
          <w:kern w:val="0"/>
          <w:sz w:val="24"/>
          <w:szCs w:val="24"/>
          <w:lang w:val="en-US" w:eastAsia="zh-CN" w:bidi="ar"/>
        </w:rPr>
        <w:t>Belajar untuk mengajar (2nd ed.).</w:t>
      </w:r>
      <w:r>
        <w:rPr>
          <w:rFonts w:hint="default" w:ascii="Cambria" w:hAnsi="Cambria" w:eastAsia="SimSun" w:cs="Cambria"/>
          <w:color w:val="000000"/>
          <w:kern w:val="0"/>
          <w:sz w:val="24"/>
          <w:szCs w:val="24"/>
          <w:lang w:val="en-US" w:eastAsia="zh-CN" w:bidi="ar"/>
        </w:rPr>
        <w:t xml:space="preserve">Terjemahan oleh Helly Prajitno Soetjipto dan Sri Mulyantini Soetjipto. 2008.Yogyakarta : Pustaka Pelajar.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Arikunto</w:t>
      </w:r>
      <w:r>
        <w:rPr>
          <w:rFonts w:hint="default" w:ascii="Cambria" w:hAnsi="Cambria" w:eastAsia="SimSun" w:cs="Cambria"/>
          <w:i/>
          <w:iCs/>
          <w:color w:val="000000"/>
          <w:kern w:val="0"/>
          <w:sz w:val="24"/>
          <w:szCs w:val="24"/>
          <w:lang w:val="en-US" w:eastAsia="zh-CN" w:bidi="ar"/>
        </w:rPr>
        <w:t xml:space="preserve">. </w:t>
      </w:r>
      <w:r>
        <w:rPr>
          <w:rFonts w:hint="default" w:ascii="Cambria" w:hAnsi="Cambria" w:eastAsia="SimSun" w:cs="Cambria"/>
          <w:color w:val="000000"/>
          <w:kern w:val="0"/>
          <w:sz w:val="24"/>
          <w:szCs w:val="24"/>
          <w:lang w:val="en-US" w:eastAsia="zh-CN" w:bidi="ar"/>
        </w:rPr>
        <w:t xml:space="preserve">(2010). </w:t>
      </w:r>
      <w:r>
        <w:rPr>
          <w:rFonts w:hint="default" w:ascii="Cambria" w:hAnsi="Cambria" w:eastAsia="SimSun" w:cs="Cambria"/>
          <w:i/>
          <w:iCs/>
          <w:color w:val="000000"/>
          <w:kern w:val="0"/>
          <w:sz w:val="24"/>
          <w:szCs w:val="24"/>
          <w:lang w:val="en-US" w:eastAsia="zh-CN" w:bidi="ar"/>
        </w:rPr>
        <w:t>Manajemen Penelitian</w:t>
      </w:r>
      <w:r>
        <w:rPr>
          <w:rFonts w:hint="default" w:ascii="Cambria" w:hAnsi="Cambria" w:eastAsia="SimSun" w:cs="Cambria"/>
          <w:color w:val="000000"/>
          <w:kern w:val="0"/>
          <w:sz w:val="24"/>
          <w:szCs w:val="24"/>
          <w:lang w:val="en-US" w:eastAsia="zh-CN" w:bidi="ar"/>
        </w:rPr>
        <w:t xml:space="preserve">. Jakarta : PT. Rineka Cipta.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Arjanggi, R. &amp; Suprihatin, T. (2010). Metode pembelajaran tutor teman sebaya meningkatkan hasil belajar berdasar regulasi diri. </w:t>
      </w:r>
      <w:r>
        <w:rPr>
          <w:rFonts w:hint="default" w:ascii="Cambria" w:hAnsi="Cambria" w:eastAsia="SimSun" w:cs="Cambria"/>
          <w:i/>
          <w:iCs/>
          <w:color w:val="000000"/>
          <w:kern w:val="0"/>
          <w:sz w:val="24"/>
          <w:szCs w:val="24"/>
          <w:lang w:val="en-US" w:eastAsia="zh-CN" w:bidi="ar"/>
        </w:rPr>
        <w:t>Makara, Sosial Humaniora</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14</w:t>
      </w:r>
      <w:r>
        <w:rPr>
          <w:rFonts w:hint="default" w:ascii="Cambria" w:hAnsi="Cambria" w:eastAsia="SimSun" w:cs="Cambria"/>
          <w:color w:val="000000"/>
          <w:kern w:val="0"/>
          <w:sz w:val="24"/>
          <w:szCs w:val="24"/>
          <w:lang w:val="en-US" w:eastAsia="zh-CN" w:bidi="ar"/>
        </w:rPr>
        <w:t xml:space="preserve">(2), 91-97.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Asmah. (2018). Penerapan model pembelajaran langsung untuk meningkatkan hasil belajar matematika mahasiswa kelas II SD negeri 016 Buluh Kasap. </w:t>
      </w:r>
      <w:r>
        <w:rPr>
          <w:rFonts w:hint="default" w:ascii="Cambria" w:hAnsi="Cambria" w:eastAsia="SimSun" w:cs="Cambria"/>
          <w:i/>
          <w:iCs/>
          <w:color w:val="000000"/>
          <w:kern w:val="0"/>
          <w:sz w:val="24"/>
          <w:szCs w:val="24"/>
          <w:lang w:val="en-US" w:eastAsia="zh-CN" w:bidi="ar"/>
        </w:rPr>
        <w:t>Jurnal Pajar (Pendidikan  dan Pengajaran</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1</w:t>
      </w:r>
      <w:r>
        <w:rPr>
          <w:rFonts w:hint="default" w:ascii="Cambria" w:hAnsi="Cambria" w:eastAsia="SimSun" w:cs="Cambria"/>
          <w:color w:val="000000"/>
          <w:kern w:val="0"/>
          <w:sz w:val="24"/>
          <w:szCs w:val="24"/>
          <w:lang w:val="en-US" w:eastAsia="zh-CN" w:bidi="ar"/>
        </w:rPr>
        <w:t xml:space="preserve">(1). 110-114.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Astuti, R. D. &amp; Abadi, A. M. (2015). Keefektifan pembelajaran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dan TAI ditinjau dari kemampuan penalaran dan sikap belajar matematika mahasiswa. </w:t>
      </w:r>
      <w:r>
        <w:rPr>
          <w:rFonts w:hint="default" w:ascii="Cambria" w:hAnsi="Cambria" w:eastAsia="SimSun" w:cs="Cambria"/>
          <w:i/>
          <w:iCs/>
          <w:color w:val="000000"/>
          <w:kern w:val="0"/>
          <w:sz w:val="24"/>
          <w:szCs w:val="24"/>
          <w:lang w:val="en-US" w:eastAsia="zh-CN" w:bidi="ar"/>
        </w:rPr>
        <w:t>Jurnal Riset Pendidikan  Matematika</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2</w:t>
      </w:r>
      <w:r>
        <w:rPr>
          <w:rFonts w:hint="default" w:ascii="Cambria" w:hAnsi="Cambria" w:eastAsia="SimSun" w:cs="Cambria"/>
          <w:color w:val="000000"/>
          <w:kern w:val="0"/>
          <w:sz w:val="24"/>
          <w:szCs w:val="24"/>
          <w:lang w:val="en-US" w:eastAsia="zh-CN" w:bidi="ar"/>
        </w:rPr>
        <w:t xml:space="preserve">(2). 235-250.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Baharun, H. (2015). Penerapan pembelajaran active learning untuk meningkatkan hasil belajar siswa di madrasah. </w:t>
      </w:r>
      <w:r>
        <w:rPr>
          <w:rFonts w:hint="default" w:ascii="Cambria" w:hAnsi="Cambria" w:eastAsia="SimSun" w:cs="Cambria"/>
          <w:i/>
          <w:iCs/>
          <w:color w:val="000000"/>
          <w:kern w:val="0"/>
          <w:sz w:val="24"/>
          <w:szCs w:val="24"/>
          <w:lang w:val="en-US" w:eastAsia="zh-CN" w:bidi="ar"/>
        </w:rPr>
        <w:t>Jurnal Pendidikan Pedagogik</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1</w:t>
      </w:r>
      <w:r>
        <w:rPr>
          <w:rFonts w:hint="default" w:ascii="Cambria" w:hAnsi="Cambria" w:eastAsia="SimSun" w:cs="Cambria"/>
          <w:color w:val="000000"/>
          <w:kern w:val="0"/>
          <w:sz w:val="24"/>
          <w:szCs w:val="24"/>
          <w:lang w:val="en-US" w:eastAsia="zh-CN" w:bidi="ar"/>
        </w:rPr>
        <w:t xml:space="preserve">(1), 34-46.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Handayani, E. S. (2018). Penerapan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dengan peta konsep pada materi persamaan kuadrat ditinjau dari sikap ilmiah peserta didik kelas X  SMA di Kabupaten Kudus. </w:t>
      </w:r>
      <w:r>
        <w:rPr>
          <w:rFonts w:hint="default" w:ascii="Cambria" w:hAnsi="Cambria" w:eastAsia="SimSun" w:cs="Cambria"/>
          <w:i/>
          <w:iCs/>
          <w:color w:val="000000"/>
          <w:kern w:val="0"/>
          <w:sz w:val="24"/>
          <w:szCs w:val="24"/>
          <w:lang w:val="en-US" w:eastAsia="zh-CN" w:bidi="ar"/>
        </w:rPr>
        <w:t>Jurnal Pendidikan Matematika</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1</w:t>
      </w:r>
      <w:r>
        <w:rPr>
          <w:rFonts w:hint="default" w:ascii="Cambria" w:hAnsi="Cambria" w:eastAsia="SimSun" w:cs="Cambria"/>
          <w:color w:val="000000"/>
          <w:kern w:val="0"/>
          <w:sz w:val="24"/>
          <w:szCs w:val="24"/>
          <w:lang w:val="en-US" w:eastAsia="zh-CN" w:bidi="ar"/>
        </w:rPr>
        <w:t xml:space="preserve">(1),17-27.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Isjoni. (2010). </w:t>
      </w:r>
      <w:r>
        <w:rPr>
          <w:rFonts w:hint="default" w:ascii="Cambria" w:hAnsi="Cambria" w:eastAsia="SimSun" w:cs="Cambria"/>
          <w:i/>
          <w:iCs/>
          <w:color w:val="000000"/>
          <w:kern w:val="0"/>
          <w:sz w:val="24"/>
          <w:szCs w:val="24"/>
          <w:lang w:val="en-US" w:eastAsia="zh-CN" w:bidi="ar"/>
        </w:rPr>
        <w:t>Pembelajaran kooperatif meningkatkan kecerdasan komunikasi antar peserta didik</w:t>
      </w:r>
      <w:r>
        <w:rPr>
          <w:rFonts w:hint="default" w:ascii="Cambria" w:hAnsi="Cambria" w:eastAsia="SimSun" w:cs="Cambria"/>
          <w:color w:val="000000"/>
          <w:kern w:val="0"/>
          <w:sz w:val="24"/>
          <w:szCs w:val="24"/>
          <w:lang w:val="en-US" w:eastAsia="zh-CN" w:bidi="ar"/>
        </w:rPr>
        <w:t xml:space="preserve">. Jakarta: Pustaka Pelajar.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Katili, F. (2017). Pengaruh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dan kemampuan berpikir kritis peserta didik terhadap hasil belajar matematika di kelas X SMK negeri 1 Batudaa. </w:t>
      </w:r>
      <w:r>
        <w:rPr>
          <w:rFonts w:hint="default" w:ascii="Cambria" w:hAnsi="Cambria" w:eastAsia="SimSun" w:cs="Cambria"/>
          <w:i/>
          <w:iCs/>
          <w:color w:val="000000"/>
          <w:kern w:val="0"/>
          <w:sz w:val="24"/>
          <w:szCs w:val="24"/>
          <w:lang w:val="en-US" w:eastAsia="zh-CN" w:bidi="ar"/>
        </w:rPr>
        <w:t>Jurnal Riset dan Pengembangan Ilmu Pengetahuan</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2</w:t>
      </w:r>
      <w:r>
        <w:rPr>
          <w:rFonts w:hint="default" w:ascii="Cambria" w:hAnsi="Cambria" w:eastAsia="SimSun" w:cs="Cambria"/>
          <w:color w:val="000000"/>
          <w:kern w:val="0"/>
          <w:sz w:val="24"/>
          <w:szCs w:val="24"/>
          <w:lang w:val="en-US" w:eastAsia="zh-CN" w:bidi="ar"/>
        </w:rPr>
        <w:t xml:space="preserve">(2), 220-225.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Kurniawati, K. R. A., Budiyono, &amp; Saputro, D. R. S. (2017). Penerapan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dan nht ditinjau dari kecerdasan interpersonal mahasiswa pada pokok bahasan bangun ruang sisi datar. </w:t>
      </w:r>
      <w:r>
        <w:rPr>
          <w:rFonts w:hint="default" w:ascii="Cambria" w:hAnsi="Cambria" w:eastAsia="SimSun" w:cs="Cambria"/>
          <w:i/>
          <w:iCs/>
          <w:color w:val="000000"/>
          <w:kern w:val="0"/>
          <w:sz w:val="24"/>
          <w:szCs w:val="24"/>
          <w:lang w:val="en-US" w:eastAsia="zh-CN" w:bidi="ar"/>
        </w:rPr>
        <w:t>Jurnal Pendidikan Matematika</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11</w:t>
      </w:r>
      <w:r>
        <w:rPr>
          <w:rFonts w:hint="default" w:ascii="Cambria" w:hAnsi="Cambria" w:eastAsia="SimSun" w:cs="Cambria"/>
          <w:color w:val="000000"/>
          <w:kern w:val="0"/>
          <w:sz w:val="24"/>
          <w:szCs w:val="24"/>
          <w:lang w:val="en-US" w:eastAsia="zh-CN" w:bidi="ar"/>
        </w:rPr>
        <w:t xml:space="preserve">(1), 15-27.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Lie, A. (2010)</w:t>
      </w:r>
      <w:r>
        <w:rPr>
          <w:rFonts w:hint="default" w:ascii="Cambria" w:hAnsi="Cambria" w:eastAsia="SimSun" w:cs="Cambria"/>
          <w:i/>
          <w:iCs/>
          <w:color w:val="000000"/>
          <w:kern w:val="0"/>
          <w:sz w:val="24"/>
          <w:szCs w:val="24"/>
          <w:lang w:val="en-US" w:eastAsia="zh-CN" w:bidi="ar"/>
        </w:rPr>
        <w:t>. Cooperative learning</w:t>
      </w:r>
      <w:r>
        <w:rPr>
          <w:rFonts w:hint="default" w:ascii="Cambria" w:hAnsi="Cambria" w:eastAsia="SimSun" w:cs="Cambria"/>
          <w:color w:val="000000"/>
          <w:kern w:val="0"/>
          <w:sz w:val="24"/>
          <w:szCs w:val="24"/>
          <w:lang w:val="en-US" w:eastAsia="zh-CN" w:bidi="ar"/>
        </w:rPr>
        <w:t xml:space="preserve">. Jakarta: Penerbit Grasindo.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Mashudi. (2018). Strategi pembelajaran kooperatif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vs pembelajaran langsung. </w:t>
      </w:r>
      <w:r>
        <w:rPr>
          <w:rFonts w:hint="default" w:ascii="Cambria" w:hAnsi="Cambria" w:eastAsia="SimSun" w:cs="Cambria"/>
          <w:i/>
          <w:iCs/>
          <w:color w:val="000000"/>
          <w:kern w:val="0"/>
          <w:sz w:val="24"/>
          <w:szCs w:val="24"/>
          <w:lang w:val="en-US" w:eastAsia="zh-CN" w:bidi="ar"/>
        </w:rPr>
        <w:t>Jurnal Dudeena</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2</w:t>
      </w:r>
      <w:r>
        <w:rPr>
          <w:rFonts w:hint="default" w:ascii="Cambria" w:hAnsi="Cambria" w:eastAsia="SimSun" w:cs="Cambria"/>
          <w:color w:val="000000"/>
          <w:kern w:val="0"/>
          <w:sz w:val="24"/>
          <w:szCs w:val="24"/>
          <w:lang w:val="en-US" w:eastAsia="zh-CN" w:bidi="ar"/>
        </w:rPr>
        <w:t xml:space="preserve">(2),149-162.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Muin, A., &amp; Ulfah, R. M. (2012). Meningkatkan hasil belajar matematika mahasiswa dengan pembelajaran menggunakan aplikasi moodle. </w:t>
      </w:r>
      <w:r>
        <w:rPr>
          <w:rFonts w:hint="default" w:ascii="Cambria" w:hAnsi="Cambria" w:eastAsia="SimSun" w:cs="Cambria"/>
          <w:i/>
          <w:iCs/>
          <w:color w:val="000000"/>
          <w:kern w:val="0"/>
          <w:sz w:val="24"/>
          <w:szCs w:val="24"/>
          <w:lang w:val="en-US" w:eastAsia="zh-CN" w:bidi="ar"/>
        </w:rPr>
        <w:t>Jurnal Phytagoras</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7</w:t>
      </w:r>
      <w:r>
        <w:rPr>
          <w:rFonts w:hint="default" w:ascii="Cambria" w:hAnsi="Cambria" w:eastAsia="SimSun" w:cs="Cambria"/>
          <w:color w:val="000000"/>
          <w:kern w:val="0"/>
          <w:sz w:val="24"/>
          <w:szCs w:val="24"/>
          <w:lang w:val="en-US" w:eastAsia="zh-CN" w:bidi="ar"/>
        </w:rPr>
        <w:t xml:space="preserve">(1). 73-82.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eastAsia="SimSun" w:cs="Cambria"/>
          <w:color w:val="000000"/>
          <w:kern w:val="0"/>
          <w:sz w:val="24"/>
          <w:szCs w:val="24"/>
          <w:lang w:val="en-US" w:eastAsia="zh-CN" w:bidi="ar"/>
        </w:rPr>
      </w:pPr>
      <w:r>
        <w:rPr>
          <w:rFonts w:hint="default" w:ascii="Cambria" w:hAnsi="Cambria" w:eastAsia="SimSun" w:cs="Cambria"/>
          <w:color w:val="000000"/>
          <w:kern w:val="0"/>
          <w:sz w:val="24"/>
          <w:szCs w:val="24"/>
          <w:lang w:val="en-US" w:eastAsia="zh-CN" w:bidi="ar"/>
        </w:rPr>
        <w:t xml:space="preserve">Nurfitriyanti, M. (2017). Pengaruh model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terhadap hasil belajar matematika ditinjau dari kecerdasan emosional. </w:t>
      </w:r>
      <w:r>
        <w:rPr>
          <w:rFonts w:hint="default" w:ascii="Cambria" w:hAnsi="Cambria" w:eastAsia="SimSun" w:cs="Cambria"/>
          <w:i/>
          <w:iCs/>
          <w:color w:val="000000"/>
          <w:kern w:val="0"/>
          <w:sz w:val="24"/>
          <w:szCs w:val="24"/>
          <w:lang w:val="en-US" w:eastAsia="zh-CN" w:bidi="ar"/>
        </w:rPr>
        <w:t>Jurnal Formatif, 7</w:t>
      </w:r>
      <w:r>
        <w:rPr>
          <w:rFonts w:hint="default" w:ascii="Cambria" w:hAnsi="Cambria" w:eastAsia="SimSun" w:cs="Cambria"/>
          <w:color w:val="000000"/>
          <w:kern w:val="0"/>
          <w:sz w:val="24"/>
          <w:szCs w:val="24"/>
          <w:lang w:val="en-US" w:eastAsia="zh-CN" w:bidi="ar"/>
        </w:rPr>
        <w:t>(2), 153-162.</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b w:val="0"/>
          <w:bCs w:val="0"/>
          <w:color w:val="000000"/>
          <w:kern w:val="0"/>
          <w:sz w:val="24"/>
          <w:szCs w:val="24"/>
          <w:lang w:val="en-US" w:eastAsia="zh-CN" w:bidi="ar"/>
        </w:rPr>
        <w:t>Tanti Jumaisyaroh Siregar</w:t>
      </w:r>
      <w:r>
        <w:rPr>
          <w:rFonts w:hint="default" w:ascii="Cambria" w:hAnsi="Cambria" w:eastAsia="SimSun" w:cs="Cambria"/>
          <w:color w:val="000000"/>
          <w:kern w:val="0"/>
          <w:sz w:val="24"/>
          <w:szCs w:val="24"/>
          <w:lang w:val="en-US" w:eastAsia="zh-CN" w:bidi="ar"/>
        </w:rPr>
        <w:t xml:space="preserve">: Perbedaan Hasil Belajar Mahasiswa yang Diajarkan dengan Model Pembelajaran Kooperatif Tipe Jigsaw dan Model Pembelajaran Langsung Republik Indonesia. (2012). </w:t>
      </w:r>
      <w:r>
        <w:rPr>
          <w:rFonts w:hint="default" w:ascii="Cambria" w:hAnsi="Cambria" w:eastAsia="SimSun" w:cs="Cambria"/>
          <w:i/>
          <w:iCs/>
          <w:color w:val="000000"/>
          <w:kern w:val="0"/>
          <w:sz w:val="24"/>
          <w:szCs w:val="24"/>
          <w:lang w:val="en-US" w:eastAsia="zh-CN" w:bidi="ar"/>
        </w:rPr>
        <w:t>Undang-Undang Republik Indonesia Nomor 12 Tahun 2012 tentang Perguruan Tinggi</w:t>
      </w:r>
      <w:r>
        <w:rPr>
          <w:rFonts w:hint="default" w:ascii="Cambria" w:hAnsi="Cambria" w:eastAsia="SimSun" w:cs="Cambria"/>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Riyanto, Y. (2010). </w:t>
      </w:r>
      <w:r>
        <w:rPr>
          <w:rFonts w:hint="default" w:ascii="Cambria" w:hAnsi="Cambria" w:eastAsia="SimSun" w:cs="Cambria"/>
          <w:i/>
          <w:iCs/>
          <w:color w:val="000000"/>
          <w:kern w:val="0"/>
          <w:sz w:val="24"/>
          <w:szCs w:val="24"/>
          <w:lang w:val="en-US" w:eastAsia="zh-CN" w:bidi="ar"/>
        </w:rPr>
        <w:t>Paradigma baru pembelajaran</w:t>
      </w:r>
      <w:r>
        <w:rPr>
          <w:rFonts w:hint="default" w:ascii="Cambria" w:hAnsi="Cambria" w:eastAsia="SimSun" w:cs="Cambria"/>
          <w:color w:val="000000"/>
          <w:kern w:val="0"/>
          <w:sz w:val="24"/>
          <w:szCs w:val="24"/>
          <w:lang w:val="en-US" w:eastAsia="zh-CN" w:bidi="ar"/>
        </w:rPr>
        <w:t xml:space="preserve">. Jakarta: Kencana Prenada Media Group.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Rosdiati. (2017). Upaya meningkatkan hasil belajar matematika melalui model pembelajaran kooperatif tipe STAD sekolah dasar. </w:t>
      </w:r>
      <w:r>
        <w:rPr>
          <w:rFonts w:hint="default" w:ascii="Cambria" w:hAnsi="Cambria" w:eastAsia="SimSun" w:cs="Cambria"/>
          <w:i/>
          <w:iCs/>
          <w:color w:val="000000"/>
          <w:kern w:val="0"/>
          <w:sz w:val="24"/>
          <w:szCs w:val="24"/>
          <w:lang w:val="en-US" w:eastAsia="zh-CN" w:bidi="ar"/>
        </w:rPr>
        <w:t>Suara Dosen: Jurnal Ilmu Pendidikan Sosial, Sains dan Humaniora</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3</w:t>
      </w:r>
      <w:r>
        <w:rPr>
          <w:rFonts w:hint="default" w:ascii="Cambria" w:hAnsi="Cambria" w:eastAsia="SimSun" w:cs="Cambria"/>
          <w:color w:val="000000"/>
          <w:kern w:val="0"/>
          <w:sz w:val="24"/>
          <w:szCs w:val="24"/>
          <w:lang w:val="en-US" w:eastAsia="zh-CN" w:bidi="ar"/>
        </w:rPr>
        <w:t xml:space="preserve">(2), 315-321.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Saila, N. (2016). Penerapan pembelajaran kooperatif tipe </w:t>
      </w:r>
      <w:r>
        <w:rPr>
          <w:rFonts w:hint="default" w:ascii="Cambria" w:hAnsi="Cambria" w:eastAsia="SimSun" w:cs="Cambria"/>
          <w:i/>
          <w:iCs/>
          <w:color w:val="000000"/>
          <w:kern w:val="0"/>
          <w:sz w:val="24"/>
          <w:szCs w:val="24"/>
          <w:lang w:val="en-US" w:eastAsia="zh-CN" w:bidi="ar"/>
        </w:rPr>
        <w:t xml:space="preserve">jigsaw </w:t>
      </w:r>
      <w:r>
        <w:rPr>
          <w:rFonts w:hint="default" w:ascii="Cambria" w:hAnsi="Cambria" w:eastAsia="SimSun" w:cs="Cambria"/>
          <w:color w:val="000000"/>
          <w:kern w:val="0"/>
          <w:sz w:val="24"/>
          <w:szCs w:val="24"/>
          <w:lang w:val="en-US" w:eastAsia="zh-CN" w:bidi="ar"/>
        </w:rPr>
        <w:t xml:space="preserve">pada perkuliahan matematika. </w:t>
      </w:r>
      <w:r>
        <w:rPr>
          <w:rFonts w:hint="default" w:ascii="Cambria" w:hAnsi="Cambria" w:eastAsia="SimSun" w:cs="Cambria"/>
          <w:i/>
          <w:iCs/>
          <w:color w:val="000000"/>
          <w:kern w:val="0"/>
          <w:sz w:val="24"/>
          <w:szCs w:val="24"/>
          <w:lang w:val="en-US" w:eastAsia="zh-CN" w:bidi="ar"/>
        </w:rPr>
        <w:t>Prosiding Seminar Nasional Pendidikan Matematika 2</w:t>
      </w:r>
      <w:r>
        <w:rPr>
          <w:rFonts w:hint="default" w:ascii="Cambria" w:hAnsi="Cambria" w:eastAsia="SimSun" w:cs="Cambria"/>
          <w:color w:val="000000"/>
          <w:kern w:val="0"/>
          <w:sz w:val="24"/>
          <w:szCs w:val="24"/>
          <w:lang w:val="en-US" w:eastAsia="zh-CN" w:bidi="ar"/>
        </w:rPr>
        <w:t xml:space="preserve">, Malang: 29 Mei 2016. Hal. 208- 216.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Shoffa, S. &amp; Suprarpti, E. (2017). Peningkatan hasil belajar mahasiswa pada mata kuliah metode numerik dengan model pembelajaran kooperatif jigsaw. </w:t>
      </w:r>
      <w:r>
        <w:rPr>
          <w:rFonts w:hint="default" w:ascii="Cambria" w:hAnsi="Cambria" w:eastAsia="SimSun" w:cs="Cambria"/>
          <w:i/>
          <w:iCs/>
          <w:color w:val="000000"/>
          <w:kern w:val="0"/>
          <w:sz w:val="24"/>
          <w:szCs w:val="24"/>
          <w:lang w:val="en-US" w:eastAsia="zh-CN" w:bidi="ar"/>
        </w:rPr>
        <w:t>MUST: Journal of Mathematics Education, Science and Technology, 2</w:t>
      </w:r>
      <w:r>
        <w:rPr>
          <w:rFonts w:hint="default" w:ascii="Cambria" w:hAnsi="Cambria" w:eastAsia="SimSun" w:cs="Cambria"/>
          <w:color w:val="000000"/>
          <w:kern w:val="0"/>
          <w:sz w:val="24"/>
          <w:szCs w:val="24"/>
          <w:lang w:val="en-US" w:eastAsia="zh-CN" w:bidi="ar"/>
        </w:rPr>
        <w:t xml:space="preserve">(2), 178-188.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Sholihah, D.A., dan Mahmudi, A. (2017). Keefektifan experiential learning pembelajaran matematika mts materi bangun ruang sisi datar. </w:t>
      </w:r>
      <w:r>
        <w:rPr>
          <w:rFonts w:hint="default" w:ascii="Cambria" w:hAnsi="Cambria" w:eastAsia="SimSun" w:cs="Cambria"/>
          <w:i/>
          <w:iCs/>
          <w:color w:val="000000"/>
          <w:kern w:val="0"/>
          <w:sz w:val="24"/>
          <w:szCs w:val="24"/>
          <w:lang w:val="en-US" w:eastAsia="zh-CN" w:bidi="ar"/>
        </w:rPr>
        <w:t>Jurnal Riset Pendidikan Matematika</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2</w:t>
      </w:r>
      <w:r>
        <w:rPr>
          <w:rFonts w:hint="default" w:ascii="Cambria" w:hAnsi="Cambria" w:eastAsia="SimSun" w:cs="Cambria"/>
          <w:color w:val="000000"/>
          <w:kern w:val="0"/>
          <w:sz w:val="24"/>
          <w:szCs w:val="24"/>
          <w:lang w:val="en-US" w:eastAsia="zh-CN" w:bidi="ar"/>
        </w:rPr>
        <w:t xml:space="preserve">(2),175-185.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Slavin, R. E. (2010). </w:t>
      </w:r>
      <w:r>
        <w:rPr>
          <w:rFonts w:hint="default" w:ascii="Cambria" w:hAnsi="Cambria" w:eastAsia="SimSun" w:cs="Cambria"/>
          <w:i/>
          <w:iCs/>
          <w:color w:val="000000"/>
          <w:kern w:val="0"/>
          <w:sz w:val="24"/>
          <w:szCs w:val="24"/>
          <w:lang w:val="en-US" w:eastAsia="zh-CN" w:bidi="ar"/>
        </w:rPr>
        <w:t>Cooperative learning: Teori riset dan praktik</w:t>
      </w:r>
      <w:r>
        <w:rPr>
          <w:rFonts w:hint="default" w:ascii="Cambria" w:hAnsi="Cambria" w:eastAsia="SimSun" w:cs="Cambria"/>
          <w:color w:val="000000"/>
          <w:kern w:val="0"/>
          <w:sz w:val="24"/>
          <w:szCs w:val="24"/>
          <w:lang w:val="en-US" w:eastAsia="zh-CN" w:bidi="ar"/>
        </w:rPr>
        <w:t xml:space="preserve">. Bandung: Nusa Media .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Sudjana, N. (2010). </w:t>
      </w:r>
      <w:r>
        <w:rPr>
          <w:rFonts w:hint="default" w:ascii="Cambria" w:hAnsi="Cambria" w:eastAsia="SimSun" w:cs="Cambria"/>
          <w:i/>
          <w:iCs/>
          <w:color w:val="000000"/>
          <w:kern w:val="0"/>
          <w:sz w:val="24"/>
          <w:szCs w:val="24"/>
          <w:lang w:val="en-US" w:eastAsia="zh-CN" w:bidi="ar"/>
        </w:rPr>
        <w:t>Penilaian hasil proses belajar mengajar</w:t>
      </w:r>
      <w:r>
        <w:rPr>
          <w:rFonts w:hint="default" w:ascii="Cambria" w:hAnsi="Cambria" w:eastAsia="SimSun" w:cs="Cambria"/>
          <w:color w:val="000000"/>
          <w:kern w:val="0"/>
          <w:sz w:val="24"/>
          <w:szCs w:val="24"/>
          <w:lang w:val="en-US" w:eastAsia="zh-CN" w:bidi="ar"/>
        </w:rPr>
        <w:t xml:space="preserve">. Bandung: PT Remaja Rosdakarya.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Susanto, A. (2013). </w:t>
      </w:r>
      <w:r>
        <w:rPr>
          <w:rFonts w:hint="default" w:ascii="Cambria" w:hAnsi="Cambria" w:eastAsia="SimSun" w:cs="Cambria"/>
          <w:i/>
          <w:iCs/>
          <w:color w:val="000000"/>
          <w:kern w:val="0"/>
          <w:sz w:val="24"/>
          <w:szCs w:val="24"/>
          <w:lang w:val="en-US" w:eastAsia="zh-CN" w:bidi="ar"/>
        </w:rPr>
        <w:t>Teori belajar dan pembelajaran di sekolah dasar</w:t>
      </w:r>
      <w:r>
        <w:rPr>
          <w:rFonts w:hint="default" w:ascii="Cambria" w:hAnsi="Cambria" w:eastAsia="SimSun" w:cs="Cambria"/>
          <w:color w:val="000000"/>
          <w:kern w:val="0"/>
          <w:sz w:val="24"/>
          <w:szCs w:val="24"/>
          <w:lang w:val="en-US" w:eastAsia="zh-CN" w:bidi="ar"/>
        </w:rPr>
        <w:t xml:space="preserve">. Jakarta: Kencana Prenada Media Grup.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Susiaty, U. D. (2017). Penerapan model pembelajaran </w:t>
      </w:r>
      <w:r>
        <w:rPr>
          <w:rFonts w:hint="default" w:ascii="Cambria" w:hAnsi="Cambria" w:eastAsia="SimSun" w:cs="Cambria"/>
          <w:i/>
          <w:iCs/>
          <w:color w:val="000000"/>
          <w:kern w:val="0"/>
          <w:sz w:val="24"/>
          <w:szCs w:val="24"/>
          <w:lang w:val="en-US" w:eastAsia="zh-CN" w:bidi="ar"/>
        </w:rPr>
        <w:t>direct instruction (DI</w:t>
      </w:r>
      <w:r>
        <w:rPr>
          <w:rFonts w:hint="default" w:ascii="Cambria" w:hAnsi="Cambria" w:eastAsia="SimSun" w:cs="Cambria"/>
          <w:color w:val="000000"/>
          <w:kern w:val="0"/>
          <w:sz w:val="24"/>
          <w:szCs w:val="24"/>
          <w:lang w:val="en-US" w:eastAsia="zh-CN" w:bidi="ar"/>
        </w:rPr>
        <w:t xml:space="preserve">) terhadap prestasi belajar mahasiswa prodi pendidikan TIK IKIP PGRI Pontianak. </w:t>
      </w:r>
      <w:r>
        <w:rPr>
          <w:rFonts w:hint="default" w:ascii="Cambria" w:hAnsi="Cambria" w:eastAsia="SimSun" w:cs="Cambria"/>
          <w:i/>
          <w:iCs/>
          <w:color w:val="000000"/>
          <w:kern w:val="0"/>
          <w:sz w:val="24"/>
          <w:szCs w:val="24"/>
          <w:lang w:val="en-US" w:eastAsia="zh-CN" w:bidi="ar"/>
        </w:rPr>
        <w:t>EduSains: Jurnal Pendidikan Sains dan Matematika</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5</w:t>
      </w:r>
      <w:r>
        <w:rPr>
          <w:rFonts w:hint="default" w:ascii="Cambria" w:hAnsi="Cambria" w:eastAsia="SimSun" w:cs="Cambria"/>
          <w:color w:val="000000"/>
          <w:kern w:val="0"/>
          <w:sz w:val="24"/>
          <w:szCs w:val="24"/>
          <w:lang w:val="en-US" w:eastAsia="zh-CN" w:bidi="ar"/>
        </w:rPr>
        <w:t xml:space="preserve">(2). 33-38.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Suyatno. 2009. </w:t>
      </w:r>
      <w:r>
        <w:rPr>
          <w:rFonts w:hint="default" w:ascii="Cambria" w:hAnsi="Cambria" w:eastAsia="SimSun" w:cs="Cambria"/>
          <w:i/>
          <w:iCs/>
          <w:color w:val="000000"/>
          <w:kern w:val="0"/>
          <w:sz w:val="24"/>
          <w:szCs w:val="24"/>
          <w:lang w:val="en-US" w:eastAsia="zh-CN" w:bidi="ar"/>
        </w:rPr>
        <w:t>menjelajah pembelajaran inovatif</w:t>
      </w:r>
      <w:r>
        <w:rPr>
          <w:rFonts w:hint="default" w:ascii="Cambria" w:hAnsi="Cambria" w:eastAsia="SimSun" w:cs="Cambria"/>
          <w:color w:val="000000"/>
          <w:kern w:val="0"/>
          <w:sz w:val="24"/>
          <w:szCs w:val="24"/>
          <w:lang w:val="en-US" w:eastAsia="zh-CN" w:bidi="ar"/>
        </w:rPr>
        <w:t xml:space="preserve">. Surabaya: Masmedia Buana Pustaka.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Trianto. (2011). </w:t>
      </w:r>
      <w:r>
        <w:rPr>
          <w:rFonts w:hint="default" w:ascii="Cambria" w:hAnsi="Cambria" w:eastAsia="SimSun" w:cs="Cambria"/>
          <w:i/>
          <w:iCs/>
          <w:color w:val="000000"/>
          <w:kern w:val="0"/>
          <w:sz w:val="24"/>
          <w:szCs w:val="24"/>
          <w:lang w:val="en-US" w:eastAsia="zh-CN" w:bidi="ar"/>
        </w:rPr>
        <w:t xml:space="preserve">Mendesain model pembelajaran inovatif-progresif: konsep, landasan, dan implementasinya pada kurikulum tingkat satuan pendidikan. </w:t>
      </w:r>
      <w:r>
        <w:rPr>
          <w:rFonts w:hint="default" w:ascii="Cambria" w:hAnsi="Cambria" w:eastAsia="SimSun" w:cs="Cambria"/>
          <w:color w:val="000000"/>
          <w:kern w:val="0"/>
          <w:sz w:val="24"/>
          <w:szCs w:val="24"/>
          <w:lang w:val="en-US" w:eastAsia="zh-CN" w:bidi="ar"/>
        </w:rPr>
        <w:t xml:space="preserve">Jakarta: Kencana.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Wahyuningsih, T., Rezeki,S., &amp; Zetriuslita. (2013). Perbandingan hasil belajar matematika mahasiswa melalui penerapan model pembelajaran langsung dengan pembelajaran kooperatif. </w:t>
      </w:r>
      <w:r>
        <w:rPr>
          <w:rFonts w:hint="default" w:ascii="Cambria" w:hAnsi="Cambria" w:eastAsia="SimSun" w:cs="Cambria"/>
          <w:i/>
          <w:iCs/>
          <w:color w:val="000000"/>
          <w:kern w:val="0"/>
          <w:sz w:val="24"/>
          <w:szCs w:val="24"/>
          <w:lang w:val="en-US" w:eastAsia="zh-CN" w:bidi="ar"/>
        </w:rPr>
        <w:t>Jurnal Matematika</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3</w:t>
      </w:r>
      <w:r>
        <w:rPr>
          <w:rFonts w:hint="default" w:ascii="Cambria" w:hAnsi="Cambria" w:eastAsia="SimSun" w:cs="Cambria"/>
          <w:color w:val="000000"/>
          <w:kern w:val="0"/>
          <w:sz w:val="24"/>
          <w:szCs w:val="24"/>
          <w:lang w:val="en-US" w:eastAsia="zh-CN" w:bidi="ar"/>
        </w:rPr>
        <w:t xml:space="preserve">(2), 52-63.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Wibowo, I. S. &amp; Farnisa, R. (2018). Hubungan peran dosen dalam proses pembelajaran terhadap prestasi belajar mahasiswa. </w:t>
      </w:r>
      <w:r>
        <w:rPr>
          <w:rFonts w:hint="default" w:ascii="Cambria" w:hAnsi="Cambria" w:eastAsia="SimSun" w:cs="Cambria"/>
          <w:i/>
          <w:iCs/>
          <w:color w:val="000000"/>
          <w:kern w:val="0"/>
          <w:sz w:val="24"/>
          <w:szCs w:val="24"/>
          <w:lang w:val="en-US" w:eastAsia="zh-CN" w:bidi="ar"/>
        </w:rPr>
        <w:t>Jurnal Gentala Pendidikan Dasar</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3</w:t>
      </w:r>
      <w:r>
        <w:rPr>
          <w:rFonts w:hint="default" w:ascii="Cambria" w:hAnsi="Cambria" w:eastAsia="SimSun" w:cs="Cambria"/>
          <w:color w:val="000000"/>
          <w:kern w:val="0"/>
          <w:sz w:val="24"/>
          <w:szCs w:val="24"/>
          <w:lang w:val="en-US" w:eastAsia="zh-CN" w:bidi="ar"/>
        </w:rPr>
        <w:t xml:space="preserve">(2), 181-201.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Yamin, M. (2013). </w:t>
      </w:r>
      <w:r>
        <w:rPr>
          <w:rFonts w:hint="default" w:ascii="Cambria" w:hAnsi="Cambria" w:eastAsia="SimSun" w:cs="Cambria"/>
          <w:i/>
          <w:iCs/>
          <w:color w:val="000000"/>
          <w:kern w:val="0"/>
          <w:sz w:val="24"/>
          <w:szCs w:val="24"/>
          <w:lang w:val="en-US" w:eastAsia="zh-CN" w:bidi="ar"/>
        </w:rPr>
        <w:t>Strategi dan metode dalam model pembelajaran</w:t>
      </w:r>
      <w:r>
        <w:rPr>
          <w:rFonts w:hint="default" w:ascii="Cambria" w:hAnsi="Cambria" w:eastAsia="SimSun" w:cs="Cambria"/>
          <w:color w:val="000000"/>
          <w:kern w:val="0"/>
          <w:sz w:val="24"/>
          <w:szCs w:val="24"/>
          <w:lang w:val="en-US" w:eastAsia="zh-CN" w:bidi="ar"/>
        </w:rPr>
        <w:t xml:space="preserve">. Jakarta: Referensi (GP Press Group). </w:t>
      </w:r>
    </w:p>
    <w:p>
      <w:pPr>
        <w:keepNext w:val="0"/>
        <w:keepLines w:val="0"/>
        <w:pageBreakBefore w:val="0"/>
        <w:widowControl/>
        <w:suppressLineNumbers w:val="0"/>
        <w:kinsoku/>
        <w:wordWrap/>
        <w:overflowPunct/>
        <w:topLinePunct w:val="0"/>
        <w:autoSpaceDN/>
        <w:bidi w:val="0"/>
        <w:adjustRightInd/>
        <w:snapToGrid/>
        <w:spacing w:after="0" w:line="240" w:lineRule="auto"/>
        <w:ind w:left="878" w:leftChars="0" w:hanging="878" w:hangingChars="366"/>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Yulianti, P. &amp; Fitri, M. E. Y. (2017). Evaluasi prestasi belajar mahasiswa terhadap perilaku belajar dan motivasi belajar mahasiswa di perdosenan tinggi kota padang provinsi sumatera barat. </w:t>
      </w:r>
      <w:r>
        <w:rPr>
          <w:rFonts w:hint="default" w:ascii="Cambria" w:hAnsi="Cambria" w:eastAsia="SimSun" w:cs="Cambria"/>
          <w:i/>
          <w:iCs/>
          <w:color w:val="000000"/>
          <w:kern w:val="0"/>
          <w:sz w:val="24"/>
          <w:szCs w:val="24"/>
          <w:lang w:val="en-US" w:eastAsia="zh-CN" w:bidi="ar"/>
        </w:rPr>
        <w:t>Jurnal Akuntasi, Ekonomi dan Manajemen Binis</w:t>
      </w:r>
      <w:r>
        <w:rPr>
          <w:rFonts w:hint="default" w:ascii="Cambria" w:hAnsi="Cambria" w:eastAsia="SimSun" w:cs="Cambria"/>
          <w:color w:val="000000"/>
          <w:kern w:val="0"/>
          <w:sz w:val="24"/>
          <w:szCs w:val="24"/>
          <w:lang w:val="en-US" w:eastAsia="zh-CN" w:bidi="ar"/>
        </w:rPr>
        <w:t xml:space="preserve">, </w:t>
      </w:r>
      <w:r>
        <w:rPr>
          <w:rFonts w:hint="default" w:ascii="Cambria" w:hAnsi="Cambria" w:eastAsia="SimSun" w:cs="Cambria"/>
          <w:i/>
          <w:iCs/>
          <w:color w:val="000000"/>
          <w:kern w:val="0"/>
          <w:sz w:val="24"/>
          <w:szCs w:val="24"/>
          <w:lang w:val="en-US" w:eastAsia="zh-CN" w:bidi="ar"/>
        </w:rPr>
        <w:t>5</w:t>
      </w:r>
      <w:r>
        <w:rPr>
          <w:rFonts w:hint="default" w:ascii="Cambria" w:hAnsi="Cambria" w:eastAsia="SimSun" w:cs="Cambria"/>
          <w:color w:val="000000"/>
          <w:kern w:val="0"/>
          <w:sz w:val="24"/>
          <w:szCs w:val="24"/>
          <w:lang w:val="en-US" w:eastAsia="zh-CN" w:bidi="ar"/>
        </w:rPr>
        <w:t xml:space="preserve">(2). 242-251. </w:t>
      </w:r>
    </w:p>
    <w:p>
      <w:pPr>
        <w:keepNext w:val="0"/>
        <w:keepLines w:val="0"/>
        <w:pageBreakBefore w:val="0"/>
        <w:widowControl/>
        <w:suppressLineNumbers w:val="0"/>
        <w:kinsoku/>
        <w:wordWrap/>
        <w:overflowPunct/>
        <w:topLinePunct w:val="0"/>
        <w:autoSpaceDN/>
        <w:bidi w:val="0"/>
        <w:adjustRightInd/>
        <w:snapToGrid/>
        <w:spacing w:after="0" w:line="240" w:lineRule="auto"/>
        <w:jc w:val="both"/>
        <w:textAlignment w:val="auto"/>
        <w:rPr>
          <w:rFonts w:hint="default" w:ascii="Cambria" w:hAnsi="Cambria" w:cs="Cambria"/>
          <w:sz w:val="24"/>
          <w:szCs w:val="24"/>
        </w:rPr>
      </w:pPr>
      <w:r>
        <w:rPr>
          <w:rFonts w:hint="default" w:ascii="Cambria" w:hAnsi="Cambria" w:eastAsia="SimSun" w:cs="Cambria"/>
          <w:color w:val="000000"/>
          <w:kern w:val="0"/>
          <w:sz w:val="24"/>
          <w:szCs w:val="24"/>
          <w:lang w:val="en-US" w:eastAsia="zh-CN" w:bidi="ar"/>
        </w:rPr>
        <w:t xml:space="preserve">Yusuf, A. M. (2017). </w:t>
      </w:r>
      <w:r>
        <w:rPr>
          <w:rFonts w:hint="default" w:ascii="Cambria" w:hAnsi="Cambria" w:eastAsia="SimSun" w:cs="Cambria"/>
          <w:i/>
          <w:iCs/>
          <w:color w:val="000000"/>
          <w:kern w:val="0"/>
          <w:sz w:val="24"/>
          <w:szCs w:val="24"/>
          <w:lang w:val="en-US" w:eastAsia="zh-CN" w:bidi="ar"/>
        </w:rPr>
        <w:t>Assesmen dan evaluasi pendidikan</w:t>
      </w:r>
      <w:r>
        <w:rPr>
          <w:rFonts w:hint="default" w:ascii="Cambria" w:hAnsi="Cambria" w:eastAsia="SimSun" w:cs="Cambria"/>
          <w:color w:val="000000"/>
          <w:kern w:val="0"/>
          <w:sz w:val="24"/>
          <w:szCs w:val="24"/>
          <w:lang w:val="en-US" w:eastAsia="zh-CN" w:bidi="ar"/>
        </w:rPr>
        <w:t>. Jakarta: Kencana.</w:t>
      </w:r>
    </w:p>
    <w:p>
      <w:pPr>
        <w:keepNext w:val="0"/>
        <w:keepLines w:val="0"/>
        <w:pageBreakBefore w:val="0"/>
        <w:widowControl/>
        <w:kinsoku/>
        <w:wordWrap/>
        <w:overflowPunct/>
        <w:topLinePunct w:val="0"/>
        <w:autoSpaceDN/>
        <w:bidi w:val="0"/>
        <w:adjustRightInd/>
        <w:snapToGrid/>
        <w:spacing w:after="0" w:line="240" w:lineRule="auto"/>
        <w:jc w:val="both"/>
        <w:textAlignment w:val="auto"/>
        <w:rPr>
          <w:rFonts w:hint="default" w:ascii="Cambria" w:hAnsi="Cambria" w:cs="Cambria"/>
          <w:b/>
          <w:bCs/>
          <w:sz w:val="24"/>
          <w:szCs w:val="24"/>
        </w:rPr>
      </w:pPr>
    </w:p>
    <w:p>
      <w:pPr>
        <w:keepNext w:val="0"/>
        <w:keepLines w:val="0"/>
        <w:pageBreakBefore w:val="0"/>
        <w:widowControl/>
        <w:kinsoku/>
        <w:wordWrap/>
        <w:overflowPunct/>
        <w:topLinePunct w:val="0"/>
        <w:autoSpaceDN/>
        <w:bidi w:val="0"/>
        <w:adjustRightInd/>
        <w:snapToGrid/>
        <w:spacing w:after="0" w:line="360" w:lineRule="auto"/>
        <w:jc w:val="both"/>
        <w:textAlignment w:val="auto"/>
        <w:rPr>
          <w:rFonts w:hint="default" w:ascii="Cambria" w:hAnsi="Cambria" w:cs="Cambria"/>
          <w:b/>
          <w:bCs/>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Cordia New">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60"/>
    <w:rsid w:val="000611F3"/>
    <w:rsid w:val="00151D60"/>
    <w:rsid w:val="00376F48"/>
    <w:rsid w:val="004B099E"/>
    <w:rsid w:val="00EA0768"/>
    <w:rsid w:val="00F84222"/>
    <w:rsid w:val="03A133B7"/>
    <w:rsid w:val="048C0A69"/>
    <w:rsid w:val="080257FC"/>
    <w:rsid w:val="08B34EA3"/>
    <w:rsid w:val="09824426"/>
    <w:rsid w:val="0D0071F9"/>
    <w:rsid w:val="0D9D5C8D"/>
    <w:rsid w:val="11267088"/>
    <w:rsid w:val="19376A6C"/>
    <w:rsid w:val="1B0C670A"/>
    <w:rsid w:val="1BF70291"/>
    <w:rsid w:val="218E24BF"/>
    <w:rsid w:val="23E318C2"/>
    <w:rsid w:val="25000F65"/>
    <w:rsid w:val="26B172D2"/>
    <w:rsid w:val="2E5D652D"/>
    <w:rsid w:val="33B04353"/>
    <w:rsid w:val="41D2681A"/>
    <w:rsid w:val="42D82BE1"/>
    <w:rsid w:val="42E60B45"/>
    <w:rsid w:val="45EA5542"/>
    <w:rsid w:val="4A46154B"/>
    <w:rsid w:val="52292A95"/>
    <w:rsid w:val="52DB32A4"/>
    <w:rsid w:val="5C832E12"/>
    <w:rsid w:val="5CDD70DE"/>
    <w:rsid w:val="5D5E3CAC"/>
    <w:rsid w:val="68492806"/>
    <w:rsid w:val="6B5611EA"/>
    <w:rsid w:val="79AD558F"/>
  </w:rsids>
  <m:mathPr>
    <m:mathFont m:val="Cambria Math"/>
    <m:brkBin m:val="before"/>
    <m:brkBinSub m:val="--"/>
    <m:smallFrac m:val="0"/>
    <m:dispDef/>
    <m:lMargin m:val="0"/>
    <m:rMargin m:val="0"/>
    <m:defJc m:val="centerGroup"/>
    <m:wrapIndent m:val="1440"/>
    <m:intLim m:val="subSup"/>
    <m:naryLim m:val="undOvr"/>
  </m:mathPr>
  <w:themeFontLang w:val="zh-CN"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8"/>
      <w:lang w:val="zh-CN" w:eastAsia="en-US" w:bidi="th-TH"/>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Unresolved Mention"/>
    <w:basedOn w:val="2"/>
    <w:semiHidden/>
    <w:unhideWhenUsed/>
    <w:qFormat/>
    <w:uiPriority w:val="99"/>
    <w:rPr>
      <w:color w:val="605E5C"/>
      <w:shd w:val="clear" w:color="auto" w:fill="E1DFDD"/>
    </w:rPr>
  </w:style>
  <w:style w:type="character" w:customStyle="1" w:styleId="7">
    <w:name w:val="15"/>
    <w:basedOn w:val="2"/>
    <w:uiPriority w:val="0"/>
    <w:rPr>
      <w:rFonts w:hint="default" w:ascii="Times New Roman" w:hAnsi="Times New Roman" w:cs="Times New Roman"/>
      <w:color w:val="0563C1"/>
      <w:u w:val="single"/>
    </w:rPr>
  </w:style>
  <w:style w:type="paragraph" w:styleId="8">
    <w:name w:val="List Paragraph"/>
    <w:basedOn w:val="1"/>
    <w:qFormat/>
    <w:uiPriority w:val="34"/>
    <w:pPr>
      <w:ind w:left="720"/>
      <w:contextualSpacing/>
    </w:pPr>
  </w:style>
  <w:style w:type="paragraph" w:customStyle="1" w:styleId="9">
    <w:name w:val="Default"/>
    <w:qFormat/>
    <w:uiPriority w:val="0"/>
    <w:pPr>
      <w:autoSpaceDE w:val="0"/>
      <w:autoSpaceDN w:val="0"/>
      <w:adjustRightInd w:val="0"/>
      <w:spacing w:after="0" w:line="240" w:lineRule="auto"/>
    </w:pPr>
    <w:rPr>
      <w:rFonts w:ascii="Cambria" w:hAnsi="Cambria" w:cs="Cambria" w:eastAsiaTheme="minorHAnsi"/>
      <w:color w:val="000000"/>
      <w:sz w:val="24"/>
      <w:szCs w:val="24"/>
      <w:lang w:val="id-ID"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70</Words>
  <Characters>402</Characters>
  <Lines>3</Lines>
  <Paragraphs>1</Paragraphs>
  <TotalTime>4</TotalTime>
  <ScaleCrop>false</ScaleCrop>
  <LinksUpToDate>false</LinksUpToDate>
  <CharactersWithSpaces>471</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2023-01-19T01:27:00Z</dcterms:created>
  <dc:creator>user office</dc:creator>
  <cp:lastModifiedBy>Yumi Sarassanti</cp:lastModifiedBy>
  <dcterms:modified xsi:type="dcterms:W3CDTF">2023-03-31T06:51:57Z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680281C728784921AB0191E21EBF7B4B</vt:lpwstr>
  </property>
</Properties>
</file>